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9650173"/>
        <w:docPartObj>
          <w:docPartGallery w:val="Cover Pages"/>
          <w:docPartUnique/>
        </w:docPartObj>
      </w:sdtPr>
      <w:sdtContent>
        <w:p w14:paraId="078E32C0" w14:textId="3A5B7761" w:rsidR="00137E4F" w:rsidRDefault="00137E4F" w:rsidP="00DC3DE9">
          <w:pPr>
            <w:pStyle w:val="TOC2"/>
            <w:ind w:left="0"/>
            <w:jc w:val="center"/>
          </w:pPr>
          <w:r>
            <w:rPr>
              <w:noProof/>
            </w:rPr>
            <w:drawing>
              <wp:inline distT="0" distB="0" distL="0" distR="0" wp14:anchorId="5D464C6B" wp14:editId="6ADBB22E">
                <wp:extent cx="1444170" cy="983112"/>
                <wp:effectExtent l="0" t="0" r="3810" b="0"/>
                <wp:docPr id="35800035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00358" name="Picture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1095" cy="1103553"/>
                        </a:xfrm>
                        <a:prstGeom prst="rect">
                          <a:avLst/>
                        </a:prstGeom>
                      </pic:spPr>
                    </pic:pic>
                  </a:graphicData>
                </a:graphic>
              </wp:inline>
            </w:drawing>
          </w:r>
        </w:p>
        <w:p w14:paraId="25F8BB98" w14:textId="77777777" w:rsidR="00DC3DE9" w:rsidRPr="00DC3DE9" w:rsidRDefault="00DC3DE9" w:rsidP="00DC3DE9"/>
        <w:p w14:paraId="38C183A1" w14:textId="77777777" w:rsidR="00D16E05" w:rsidRDefault="00DC3DE9" w:rsidP="001401E6">
          <w:pPr>
            <w:pStyle w:val="Title"/>
            <w:jc w:val="center"/>
          </w:pPr>
          <w:r>
            <w:t>2025 Annual Report</w:t>
          </w:r>
          <w:r w:rsidR="001401E6">
            <w:t xml:space="preserve"> </w:t>
          </w:r>
        </w:p>
        <w:p w14:paraId="0D21A8BD" w14:textId="02134818" w:rsidR="00137E4F" w:rsidRDefault="001401E6" w:rsidP="001401E6">
          <w:pPr>
            <w:pStyle w:val="Title"/>
            <w:jc w:val="center"/>
          </w:pPr>
          <w:r>
            <w:t>On Learning Outcomes</w:t>
          </w:r>
        </w:p>
        <w:p w14:paraId="57D988F4" w14:textId="77777777" w:rsidR="00137E4F" w:rsidRPr="00137E4F" w:rsidRDefault="00137E4F" w:rsidP="00137E4F"/>
        <w:p w14:paraId="5311BCF5" w14:textId="26FFC654" w:rsidR="005B2D8F" w:rsidRDefault="005B2D8F" w:rsidP="00ED67CF">
          <w:pPr>
            <w:pStyle w:val="TOC2"/>
          </w:pPr>
        </w:p>
        <w:p w14:paraId="3AEAE937" w14:textId="60B51CB0" w:rsidR="005B2D8F" w:rsidRDefault="005B2D8F" w:rsidP="00ED67CF">
          <w:pPr>
            <w:pStyle w:val="TOC2"/>
          </w:pPr>
          <w:r>
            <w:br w:type="page"/>
          </w:r>
        </w:p>
      </w:sdtContent>
    </w:sdt>
    <w:sdt>
      <w:sdtPr>
        <w:rPr>
          <w:i/>
          <w:iCs/>
          <w:sz w:val="24"/>
          <w:szCs w:val="24"/>
        </w:rPr>
        <w:id w:val="1463711886"/>
        <w:docPartObj>
          <w:docPartGallery w:val="Table of Contents"/>
          <w:docPartUnique/>
        </w:docPartObj>
      </w:sdtPr>
      <w:sdtContent>
        <w:p w14:paraId="381C7198" w14:textId="49A07FD1" w:rsidR="002611F4" w:rsidRDefault="5195135A" w:rsidP="004D68EF">
          <w:pPr>
            <w:pStyle w:val="TOC2"/>
            <w:ind w:left="0"/>
          </w:pPr>
          <w:r>
            <w:t>Table of Contents</w:t>
          </w:r>
        </w:p>
        <w:p w14:paraId="464ABE31" w14:textId="03CA6F50" w:rsidR="00AD3201" w:rsidRDefault="0AAA0FB5" w:rsidP="26E9DF75">
          <w:pPr>
            <w:pStyle w:val="TOC1"/>
            <w:tabs>
              <w:tab w:val="clear" w:pos="9350"/>
              <w:tab w:val="right" w:leader="dot" w:pos="9345"/>
            </w:tabs>
            <w:rPr>
              <w:rStyle w:val="Hyperlink"/>
              <w:noProof/>
              <w:kern w:val="2"/>
              <w14:ligatures w14:val="standardContextual"/>
            </w:rPr>
          </w:pPr>
          <w:r>
            <w:fldChar w:fldCharType="begin"/>
          </w:r>
          <w:r w:rsidR="0945F12E">
            <w:instrText>TOC \o "1-3" \z \u \h</w:instrText>
          </w:r>
          <w:r>
            <w:fldChar w:fldCharType="separate"/>
          </w:r>
          <w:hyperlink w:anchor="_Toc228333178">
            <w:r w:rsidR="26E9DF75" w:rsidRPr="26E9DF75">
              <w:rPr>
                <w:rStyle w:val="Hyperlink"/>
              </w:rPr>
              <w:t>Introduction</w:t>
            </w:r>
            <w:r w:rsidR="0945F12E">
              <w:tab/>
            </w:r>
            <w:r w:rsidR="0945F12E">
              <w:fldChar w:fldCharType="begin"/>
            </w:r>
            <w:r w:rsidR="0945F12E">
              <w:instrText>PAGEREF _Toc228333178 \h</w:instrText>
            </w:r>
            <w:r w:rsidR="0945F12E">
              <w:fldChar w:fldCharType="separate"/>
            </w:r>
            <w:r w:rsidR="26E9DF75" w:rsidRPr="26E9DF75">
              <w:rPr>
                <w:rStyle w:val="Hyperlink"/>
              </w:rPr>
              <w:t>4</w:t>
            </w:r>
            <w:r w:rsidR="0945F12E">
              <w:fldChar w:fldCharType="end"/>
            </w:r>
          </w:hyperlink>
        </w:p>
        <w:p w14:paraId="3C6F38FD" w14:textId="3A2804F2" w:rsidR="00AD3201" w:rsidRDefault="26E9DF75" w:rsidP="26E9DF75">
          <w:pPr>
            <w:pStyle w:val="TOC1"/>
            <w:tabs>
              <w:tab w:val="clear" w:pos="9350"/>
              <w:tab w:val="right" w:leader="dot" w:pos="9345"/>
            </w:tabs>
            <w:rPr>
              <w:rStyle w:val="Hyperlink"/>
              <w:noProof/>
              <w:kern w:val="2"/>
              <w14:ligatures w14:val="standardContextual"/>
            </w:rPr>
          </w:pPr>
          <w:hyperlink w:anchor="_Toc1810089989">
            <w:r w:rsidRPr="26E9DF75">
              <w:rPr>
                <w:rStyle w:val="Hyperlink"/>
              </w:rPr>
              <w:t>Methods</w:t>
            </w:r>
            <w:r w:rsidR="0AAA0FB5">
              <w:tab/>
            </w:r>
            <w:r w:rsidR="0AAA0FB5">
              <w:fldChar w:fldCharType="begin"/>
            </w:r>
            <w:r w:rsidR="0AAA0FB5">
              <w:instrText>PAGEREF _Toc1810089989 \h</w:instrText>
            </w:r>
            <w:r w:rsidR="0AAA0FB5">
              <w:fldChar w:fldCharType="separate"/>
            </w:r>
            <w:r w:rsidRPr="26E9DF75">
              <w:rPr>
                <w:rStyle w:val="Hyperlink"/>
              </w:rPr>
              <w:t>4</w:t>
            </w:r>
            <w:r w:rsidR="0AAA0FB5">
              <w:fldChar w:fldCharType="end"/>
            </w:r>
          </w:hyperlink>
        </w:p>
        <w:p w14:paraId="11EA1DED" w14:textId="66D8C4AD" w:rsidR="00AD3201" w:rsidRDefault="26E9DF75" w:rsidP="26E9DF75">
          <w:pPr>
            <w:pStyle w:val="TOC1"/>
            <w:tabs>
              <w:tab w:val="clear" w:pos="9350"/>
              <w:tab w:val="right" w:leader="dot" w:pos="9345"/>
            </w:tabs>
            <w:rPr>
              <w:rStyle w:val="Hyperlink"/>
              <w:noProof/>
              <w:kern w:val="2"/>
              <w14:ligatures w14:val="standardContextual"/>
            </w:rPr>
          </w:pPr>
          <w:hyperlink w:anchor="_Toc1566317436">
            <w:r w:rsidRPr="26E9DF75">
              <w:rPr>
                <w:rStyle w:val="Hyperlink"/>
              </w:rPr>
              <w:t>Executive Summary</w:t>
            </w:r>
            <w:r w:rsidR="0AAA0FB5">
              <w:tab/>
            </w:r>
            <w:r w:rsidR="0AAA0FB5">
              <w:fldChar w:fldCharType="begin"/>
            </w:r>
            <w:r w:rsidR="0AAA0FB5">
              <w:instrText>PAGEREF _Toc1566317436 \h</w:instrText>
            </w:r>
            <w:r w:rsidR="0AAA0FB5">
              <w:fldChar w:fldCharType="separate"/>
            </w:r>
            <w:r w:rsidRPr="26E9DF75">
              <w:rPr>
                <w:rStyle w:val="Hyperlink"/>
              </w:rPr>
              <w:t>4</w:t>
            </w:r>
            <w:r w:rsidR="0AAA0FB5">
              <w:fldChar w:fldCharType="end"/>
            </w:r>
          </w:hyperlink>
        </w:p>
        <w:p w14:paraId="5D8AC2AB" w14:textId="2576B230" w:rsidR="00AD3201" w:rsidRDefault="26E9DF75" w:rsidP="26E9DF75">
          <w:pPr>
            <w:pStyle w:val="TOC1"/>
            <w:tabs>
              <w:tab w:val="clear" w:pos="9350"/>
              <w:tab w:val="right" w:leader="dot" w:pos="9345"/>
            </w:tabs>
            <w:rPr>
              <w:rStyle w:val="Hyperlink"/>
              <w:noProof/>
              <w:kern w:val="2"/>
              <w14:ligatures w14:val="standardContextual"/>
            </w:rPr>
          </w:pPr>
          <w:hyperlink w:anchor="_Toc420486867">
            <w:r w:rsidRPr="26E9DF75">
              <w:rPr>
                <w:rStyle w:val="Hyperlink"/>
              </w:rPr>
              <w:t>General Education Reporting – Student Learning Outcomes (SLOs)</w:t>
            </w:r>
            <w:r w:rsidR="0AAA0FB5">
              <w:tab/>
            </w:r>
            <w:r w:rsidR="0AAA0FB5">
              <w:fldChar w:fldCharType="begin"/>
            </w:r>
            <w:r w:rsidR="0AAA0FB5">
              <w:instrText>PAGEREF _Toc420486867 \h</w:instrText>
            </w:r>
            <w:r w:rsidR="0AAA0FB5">
              <w:fldChar w:fldCharType="separate"/>
            </w:r>
            <w:r w:rsidRPr="26E9DF75">
              <w:rPr>
                <w:rStyle w:val="Hyperlink"/>
              </w:rPr>
              <w:t>6</w:t>
            </w:r>
            <w:r w:rsidR="0AAA0FB5">
              <w:fldChar w:fldCharType="end"/>
            </w:r>
          </w:hyperlink>
        </w:p>
        <w:p w14:paraId="2F5B1574" w14:textId="02BB7E4C" w:rsidR="00AD3201" w:rsidRDefault="26E9DF75" w:rsidP="26E9DF75">
          <w:pPr>
            <w:pStyle w:val="TOC2"/>
            <w:tabs>
              <w:tab w:val="clear" w:pos="9350"/>
              <w:tab w:val="right" w:leader="dot" w:pos="9345"/>
            </w:tabs>
            <w:rPr>
              <w:rStyle w:val="Hyperlink"/>
              <w:noProof/>
              <w:kern w:val="2"/>
              <w14:ligatures w14:val="standardContextual"/>
            </w:rPr>
          </w:pPr>
          <w:hyperlink w:anchor="_Toc1259743501">
            <w:r w:rsidRPr="26E9DF75">
              <w:rPr>
                <w:rStyle w:val="Hyperlink"/>
              </w:rPr>
              <w:t>Summative Data Tables for General Education</w:t>
            </w:r>
            <w:r w:rsidR="0AAA0FB5">
              <w:tab/>
            </w:r>
            <w:r w:rsidR="0AAA0FB5">
              <w:fldChar w:fldCharType="begin"/>
            </w:r>
            <w:r w:rsidR="0AAA0FB5">
              <w:instrText>PAGEREF _Toc1259743501 \h</w:instrText>
            </w:r>
            <w:r w:rsidR="0AAA0FB5">
              <w:fldChar w:fldCharType="separate"/>
            </w:r>
            <w:r w:rsidRPr="26E9DF75">
              <w:rPr>
                <w:rStyle w:val="Hyperlink"/>
              </w:rPr>
              <w:t>7</w:t>
            </w:r>
            <w:r w:rsidR="0AAA0FB5">
              <w:fldChar w:fldCharType="end"/>
            </w:r>
          </w:hyperlink>
        </w:p>
        <w:p w14:paraId="5452DC3B" w14:textId="312FABC0" w:rsidR="00AD3201" w:rsidRDefault="26E9DF75" w:rsidP="26E9DF75">
          <w:pPr>
            <w:pStyle w:val="TOC3"/>
            <w:tabs>
              <w:tab w:val="right" w:leader="dot" w:pos="9345"/>
            </w:tabs>
            <w:rPr>
              <w:rStyle w:val="Hyperlink"/>
              <w:noProof/>
              <w:kern w:val="2"/>
              <w14:ligatures w14:val="standardContextual"/>
            </w:rPr>
          </w:pPr>
          <w:hyperlink w:anchor="_Toc1565779951">
            <w:r w:rsidRPr="26E9DF75">
              <w:rPr>
                <w:rStyle w:val="Hyperlink"/>
              </w:rPr>
              <w:t>Chart 1: General Education Assessment – By Outcome AY24-25</w:t>
            </w:r>
            <w:r w:rsidR="0AAA0FB5">
              <w:tab/>
            </w:r>
            <w:r w:rsidR="0AAA0FB5">
              <w:fldChar w:fldCharType="begin"/>
            </w:r>
            <w:r w:rsidR="0AAA0FB5">
              <w:instrText>PAGEREF _Toc1565779951 \h</w:instrText>
            </w:r>
            <w:r w:rsidR="0AAA0FB5">
              <w:fldChar w:fldCharType="separate"/>
            </w:r>
            <w:r w:rsidRPr="26E9DF75">
              <w:rPr>
                <w:rStyle w:val="Hyperlink"/>
              </w:rPr>
              <w:t>8</w:t>
            </w:r>
            <w:r w:rsidR="0AAA0FB5">
              <w:fldChar w:fldCharType="end"/>
            </w:r>
          </w:hyperlink>
        </w:p>
        <w:p w14:paraId="09D79C27" w14:textId="295698E0" w:rsidR="00AD3201" w:rsidRDefault="26E9DF75" w:rsidP="26E9DF75">
          <w:pPr>
            <w:pStyle w:val="TOC3"/>
            <w:tabs>
              <w:tab w:val="right" w:leader="dot" w:pos="9345"/>
            </w:tabs>
            <w:rPr>
              <w:rStyle w:val="Hyperlink"/>
              <w:noProof/>
              <w:kern w:val="2"/>
              <w14:ligatures w14:val="standardContextual"/>
            </w:rPr>
          </w:pPr>
          <w:hyperlink w:anchor="_Toc880873524">
            <w:r w:rsidRPr="26E9DF75">
              <w:rPr>
                <w:rStyle w:val="Hyperlink"/>
              </w:rPr>
              <w:t>Chart 2: General Education Assessment – By Outcome AY23-24</w:t>
            </w:r>
            <w:r w:rsidR="0AAA0FB5">
              <w:tab/>
            </w:r>
            <w:r w:rsidR="0AAA0FB5">
              <w:fldChar w:fldCharType="begin"/>
            </w:r>
            <w:r w:rsidR="0AAA0FB5">
              <w:instrText>PAGEREF _Toc880873524 \h</w:instrText>
            </w:r>
            <w:r w:rsidR="0AAA0FB5">
              <w:fldChar w:fldCharType="separate"/>
            </w:r>
            <w:r w:rsidRPr="26E9DF75">
              <w:rPr>
                <w:rStyle w:val="Hyperlink"/>
              </w:rPr>
              <w:t>8</w:t>
            </w:r>
            <w:r w:rsidR="0AAA0FB5">
              <w:fldChar w:fldCharType="end"/>
            </w:r>
          </w:hyperlink>
        </w:p>
        <w:p w14:paraId="2F8E3A0B" w14:textId="5FC75472" w:rsidR="00AD3201" w:rsidRDefault="26E9DF75" w:rsidP="26E9DF75">
          <w:pPr>
            <w:pStyle w:val="TOC3"/>
            <w:tabs>
              <w:tab w:val="right" w:leader="dot" w:pos="9345"/>
            </w:tabs>
            <w:rPr>
              <w:rStyle w:val="Hyperlink"/>
              <w:noProof/>
              <w:kern w:val="2"/>
              <w14:ligatures w14:val="standardContextual"/>
            </w:rPr>
          </w:pPr>
          <w:hyperlink w:anchor="_Toc1833597685">
            <w:r w:rsidRPr="26E9DF75">
              <w:rPr>
                <w:rStyle w:val="Hyperlink"/>
              </w:rPr>
              <w:t>Chart 3: General Education Outcomes – Number of Students by SLO AY24-25</w:t>
            </w:r>
            <w:r w:rsidR="0AAA0FB5">
              <w:tab/>
            </w:r>
            <w:r w:rsidR="0AAA0FB5">
              <w:fldChar w:fldCharType="begin"/>
            </w:r>
            <w:r w:rsidR="0AAA0FB5">
              <w:instrText>PAGEREF _Toc1833597685 \h</w:instrText>
            </w:r>
            <w:r w:rsidR="0AAA0FB5">
              <w:fldChar w:fldCharType="separate"/>
            </w:r>
            <w:r w:rsidRPr="26E9DF75">
              <w:rPr>
                <w:rStyle w:val="Hyperlink"/>
              </w:rPr>
              <w:t>9</w:t>
            </w:r>
            <w:r w:rsidR="0AAA0FB5">
              <w:fldChar w:fldCharType="end"/>
            </w:r>
          </w:hyperlink>
        </w:p>
        <w:p w14:paraId="7E558279" w14:textId="4ABF1392" w:rsidR="00AD3201" w:rsidRDefault="26E9DF75" w:rsidP="26E9DF75">
          <w:pPr>
            <w:pStyle w:val="TOC3"/>
            <w:tabs>
              <w:tab w:val="right" w:leader="dot" w:pos="9345"/>
            </w:tabs>
            <w:rPr>
              <w:rStyle w:val="Hyperlink"/>
              <w:noProof/>
              <w:kern w:val="2"/>
              <w14:ligatures w14:val="standardContextual"/>
            </w:rPr>
          </w:pPr>
          <w:hyperlink w:anchor="_Toc1549217426">
            <w:r w:rsidRPr="26E9DF75">
              <w:rPr>
                <w:rStyle w:val="Hyperlink"/>
              </w:rPr>
              <w:t>Chart 4: General Education Outcomes – Number of Students by SLO AY23-24</w:t>
            </w:r>
            <w:r w:rsidR="0AAA0FB5">
              <w:tab/>
            </w:r>
            <w:r w:rsidR="0AAA0FB5">
              <w:fldChar w:fldCharType="begin"/>
            </w:r>
            <w:r w:rsidR="0AAA0FB5">
              <w:instrText>PAGEREF _Toc1549217426 \h</w:instrText>
            </w:r>
            <w:r w:rsidR="0AAA0FB5">
              <w:fldChar w:fldCharType="separate"/>
            </w:r>
            <w:r w:rsidRPr="26E9DF75">
              <w:rPr>
                <w:rStyle w:val="Hyperlink"/>
              </w:rPr>
              <w:t>9</w:t>
            </w:r>
            <w:r w:rsidR="0AAA0FB5">
              <w:fldChar w:fldCharType="end"/>
            </w:r>
          </w:hyperlink>
        </w:p>
        <w:p w14:paraId="317B4AED" w14:textId="11E0BABB" w:rsidR="00AD3201" w:rsidRDefault="26E9DF75" w:rsidP="26E9DF75">
          <w:pPr>
            <w:pStyle w:val="TOC3"/>
            <w:tabs>
              <w:tab w:val="right" w:leader="dot" w:pos="9345"/>
            </w:tabs>
            <w:rPr>
              <w:rStyle w:val="Hyperlink"/>
              <w:noProof/>
              <w:kern w:val="2"/>
              <w14:ligatures w14:val="standardContextual"/>
            </w:rPr>
          </w:pPr>
          <w:hyperlink w:anchor="_Toc1613980785">
            <w:r w:rsidRPr="26E9DF75">
              <w:rPr>
                <w:rStyle w:val="Hyperlink"/>
              </w:rPr>
              <w:t>Chart 5: Totals by Bloom’s Level</w:t>
            </w:r>
            <w:r w:rsidR="0AAA0FB5">
              <w:tab/>
            </w:r>
            <w:r w:rsidR="0AAA0FB5">
              <w:fldChar w:fldCharType="begin"/>
            </w:r>
            <w:r w:rsidR="0AAA0FB5">
              <w:instrText>PAGEREF _Toc1613980785 \h</w:instrText>
            </w:r>
            <w:r w:rsidR="0AAA0FB5">
              <w:fldChar w:fldCharType="separate"/>
            </w:r>
            <w:r w:rsidRPr="26E9DF75">
              <w:rPr>
                <w:rStyle w:val="Hyperlink"/>
              </w:rPr>
              <w:t>10</w:t>
            </w:r>
            <w:r w:rsidR="0AAA0FB5">
              <w:fldChar w:fldCharType="end"/>
            </w:r>
          </w:hyperlink>
        </w:p>
        <w:p w14:paraId="61F64062" w14:textId="19066E95" w:rsidR="00AD3201" w:rsidRDefault="26E9DF75" w:rsidP="26E9DF75">
          <w:pPr>
            <w:pStyle w:val="TOC1"/>
            <w:tabs>
              <w:tab w:val="clear" w:pos="9350"/>
              <w:tab w:val="right" w:leader="dot" w:pos="9345"/>
            </w:tabs>
            <w:rPr>
              <w:rStyle w:val="Hyperlink"/>
              <w:noProof/>
              <w:kern w:val="2"/>
              <w14:ligatures w14:val="standardContextual"/>
            </w:rPr>
          </w:pPr>
          <w:hyperlink w:anchor="_Toc1446606506">
            <w:r w:rsidRPr="26E9DF75">
              <w:rPr>
                <w:rStyle w:val="Hyperlink"/>
              </w:rPr>
              <w:t>Career and Technical Education &amp; Non-General Education Reporting – Institutional Learning Outcomes (ILOs)</w:t>
            </w:r>
            <w:r w:rsidR="0AAA0FB5">
              <w:tab/>
            </w:r>
            <w:r w:rsidR="0AAA0FB5">
              <w:fldChar w:fldCharType="begin"/>
            </w:r>
            <w:r w:rsidR="0AAA0FB5">
              <w:instrText>PAGEREF _Toc1446606506 \h</w:instrText>
            </w:r>
            <w:r w:rsidR="0AAA0FB5">
              <w:fldChar w:fldCharType="separate"/>
            </w:r>
            <w:r w:rsidRPr="26E9DF75">
              <w:rPr>
                <w:rStyle w:val="Hyperlink"/>
              </w:rPr>
              <w:t>10</w:t>
            </w:r>
            <w:r w:rsidR="0AAA0FB5">
              <w:fldChar w:fldCharType="end"/>
            </w:r>
          </w:hyperlink>
        </w:p>
        <w:p w14:paraId="3F10EB15" w14:textId="19B2C848" w:rsidR="00AD3201" w:rsidRDefault="26E9DF75" w:rsidP="26E9DF75">
          <w:pPr>
            <w:pStyle w:val="TOC2"/>
            <w:tabs>
              <w:tab w:val="clear" w:pos="9350"/>
              <w:tab w:val="right" w:leader="dot" w:pos="9345"/>
            </w:tabs>
            <w:rPr>
              <w:rStyle w:val="Hyperlink"/>
              <w:noProof/>
              <w:kern w:val="2"/>
              <w14:ligatures w14:val="standardContextual"/>
            </w:rPr>
          </w:pPr>
          <w:hyperlink w:anchor="_Toc2086887037">
            <w:r w:rsidRPr="26E9DF75">
              <w:rPr>
                <w:rStyle w:val="Hyperlink"/>
              </w:rPr>
              <w:t>Summative Data Tables for Non-General Education ILOs</w:t>
            </w:r>
            <w:r w:rsidR="0AAA0FB5">
              <w:tab/>
            </w:r>
            <w:r w:rsidR="0AAA0FB5">
              <w:fldChar w:fldCharType="begin"/>
            </w:r>
            <w:r w:rsidR="0AAA0FB5">
              <w:instrText>PAGEREF _Toc2086887037 \h</w:instrText>
            </w:r>
            <w:r w:rsidR="0AAA0FB5">
              <w:fldChar w:fldCharType="separate"/>
            </w:r>
            <w:r w:rsidRPr="26E9DF75">
              <w:rPr>
                <w:rStyle w:val="Hyperlink"/>
              </w:rPr>
              <w:t>11</w:t>
            </w:r>
            <w:r w:rsidR="0AAA0FB5">
              <w:fldChar w:fldCharType="end"/>
            </w:r>
          </w:hyperlink>
        </w:p>
        <w:p w14:paraId="07176BA9" w14:textId="02BCE468" w:rsidR="00AD3201" w:rsidRDefault="26E9DF75" w:rsidP="26E9DF75">
          <w:pPr>
            <w:pStyle w:val="TOC3"/>
            <w:tabs>
              <w:tab w:val="right" w:leader="dot" w:pos="9345"/>
            </w:tabs>
            <w:rPr>
              <w:rStyle w:val="Hyperlink"/>
              <w:noProof/>
              <w:kern w:val="2"/>
              <w14:ligatures w14:val="standardContextual"/>
            </w:rPr>
          </w:pPr>
          <w:hyperlink w:anchor="_Toc801991043">
            <w:r w:rsidRPr="26E9DF75">
              <w:rPr>
                <w:rStyle w:val="Hyperlink"/>
              </w:rPr>
              <w:t>Chart 6: ILO - Assessment Results by Outcome AY24-25</w:t>
            </w:r>
            <w:r w:rsidR="0AAA0FB5">
              <w:tab/>
            </w:r>
            <w:r w:rsidR="0AAA0FB5">
              <w:fldChar w:fldCharType="begin"/>
            </w:r>
            <w:r w:rsidR="0AAA0FB5">
              <w:instrText>PAGEREF _Toc801991043 \h</w:instrText>
            </w:r>
            <w:r w:rsidR="0AAA0FB5">
              <w:fldChar w:fldCharType="separate"/>
            </w:r>
            <w:r w:rsidRPr="26E9DF75">
              <w:rPr>
                <w:rStyle w:val="Hyperlink"/>
              </w:rPr>
              <w:t>12</w:t>
            </w:r>
            <w:r w:rsidR="0AAA0FB5">
              <w:fldChar w:fldCharType="end"/>
            </w:r>
          </w:hyperlink>
        </w:p>
        <w:p w14:paraId="2889DC82" w14:textId="6622C0A7" w:rsidR="00AD3201" w:rsidRDefault="26E9DF75" w:rsidP="26E9DF75">
          <w:pPr>
            <w:pStyle w:val="TOC3"/>
            <w:tabs>
              <w:tab w:val="right" w:leader="dot" w:pos="9345"/>
            </w:tabs>
            <w:rPr>
              <w:rStyle w:val="Hyperlink"/>
              <w:noProof/>
              <w:kern w:val="2"/>
              <w14:ligatures w14:val="standardContextual"/>
            </w:rPr>
          </w:pPr>
          <w:hyperlink w:anchor="_Toc844406459">
            <w:r w:rsidRPr="26E9DF75">
              <w:rPr>
                <w:rStyle w:val="Hyperlink"/>
              </w:rPr>
              <w:t>Chart 7: ILO - Assessment Results by Outcome AY23-24</w:t>
            </w:r>
            <w:r w:rsidR="0AAA0FB5">
              <w:tab/>
            </w:r>
            <w:r w:rsidR="0AAA0FB5">
              <w:fldChar w:fldCharType="begin"/>
            </w:r>
            <w:r w:rsidR="0AAA0FB5">
              <w:instrText>PAGEREF _Toc844406459 \h</w:instrText>
            </w:r>
            <w:r w:rsidR="0AAA0FB5">
              <w:fldChar w:fldCharType="separate"/>
            </w:r>
            <w:r w:rsidRPr="26E9DF75">
              <w:rPr>
                <w:rStyle w:val="Hyperlink"/>
              </w:rPr>
              <w:t>12</w:t>
            </w:r>
            <w:r w:rsidR="0AAA0FB5">
              <w:fldChar w:fldCharType="end"/>
            </w:r>
          </w:hyperlink>
        </w:p>
        <w:p w14:paraId="4BDD1DD9" w14:textId="09B4AD10" w:rsidR="00AD3201" w:rsidRDefault="26E9DF75" w:rsidP="26E9DF75">
          <w:pPr>
            <w:pStyle w:val="TOC3"/>
            <w:tabs>
              <w:tab w:val="right" w:leader="dot" w:pos="9345"/>
            </w:tabs>
            <w:rPr>
              <w:rStyle w:val="Hyperlink"/>
              <w:noProof/>
              <w:kern w:val="2"/>
              <w14:ligatures w14:val="standardContextual"/>
            </w:rPr>
          </w:pPr>
          <w:hyperlink w:anchor="_Toc1359047719">
            <w:r w:rsidRPr="26E9DF75">
              <w:rPr>
                <w:rStyle w:val="Hyperlink"/>
              </w:rPr>
              <w:t>Chart 8: ILO - Number of Students Assessed AY24-25</w:t>
            </w:r>
            <w:r w:rsidR="0AAA0FB5">
              <w:tab/>
            </w:r>
            <w:r w:rsidR="0AAA0FB5">
              <w:fldChar w:fldCharType="begin"/>
            </w:r>
            <w:r w:rsidR="0AAA0FB5">
              <w:instrText>PAGEREF _Toc1359047719 \h</w:instrText>
            </w:r>
            <w:r w:rsidR="0AAA0FB5">
              <w:fldChar w:fldCharType="separate"/>
            </w:r>
            <w:r w:rsidRPr="26E9DF75">
              <w:rPr>
                <w:rStyle w:val="Hyperlink"/>
              </w:rPr>
              <w:t>12</w:t>
            </w:r>
            <w:r w:rsidR="0AAA0FB5">
              <w:fldChar w:fldCharType="end"/>
            </w:r>
          </w:hyperlink>
        </w:p>
        <w:p w14:paraId="7CCEF7A1" w14:textId="5A3357CA" w:rsidR="00AD3201" w:rsidRDefault="26E9DF75" w:rsidP="26E9DF75">
          <w:pPr>
            <w:pStyle w:val="TOC3"/>
            <w:tabs>
              <w:tab w:val="right" w:leader="dot" w:pos="9345"/>
            </w:tabs>
            <w:rPr>
              <w:rStyle w:val="Hyperlink"/>
              <w:noProof/>
              <w:kern w:val="2"/>
              <w14:ligatures w14:val="standardContextual"/>
            </w:rPr>
          </w:pPr>
          <w:hyperlink w:anchor="_Toc1329999562">
            <w:r w:rsidRPr="26E9DF75">
              <w:rPr>
                <w:rStyle w:val="Hyperlink"/>
              </w:rPr>
              <w:t>Chart 9: ILO - Number of Students Assessed AY23-24</w:t>
            </w:r>
            <w:r w:rsidR="0AAA0FB5">
              <w:tab/>
            </w:r>
            <w:r w:rsidR="0AAA0FB5">
              <w:fldChar w:fldCharType="begin"/>
            </w:r>
            <w:r w:rsidR="0AAA0FB5">
              <w:instrText>PAGEREF _Toc1329999562 \h</w:instrText>
            </w:r>
            <w:r w:rsidR="0AAA0FB5">
              <w:fldChar w:fldCharType="separate"/>
            </w:r>
            <w:r w:rsidRPr="26E9DF75">
              <w:rPr>
                <w:rStyle w:val="Hyperlink"/>
              </w:rPr>
              <w:t>13</w:t>
            </w:r>
            <w:r w:rsidR="0AAA0FB5">
              <w:fldChar w:fldCharType="end"/>
            </w:r>
          </w:hyperlink>
        </w:p>
        <w:p w14:paraId="2AFEC79D" w14:textId="66A075AA" w:rsidR="00AD3201" w:rsidRDefault="26E9DF75" w:rsidP="26E9DF75">
          <w:pPr>
            <w:pStyle w:val="TOC3"/>
            <w:tabs>
              <w:tab w:val="right" w:leader="dot" w:pos="9345"/>
            </w:tabs>
            <w:rPr>
              <w:rStyle w:val="Hyperlink"/>
              <w:noProof/>
              <w:kern w:val="2"/>
              <w14:ligatures w14:val="standardContextual"/>
            </w:rPr>
          </w:pPr>
          <w:hyperlink w:anchor="_Toc511232462">
            <w:r w:rsidRPr="26E9DF75">
              <w:rPr>
                <w:rStyle w:val="Hyperlink"/>
              </w:rPr>
              <w:t>Chart 10: Totals by Bloom’s Level</w:t>
            </w:r>
            <w:r w:rsidR="0AAA0FB5">
              <w:tab/>
            </w:r>
            <w:r w:rsidR="0AAA0FB5">
              <w:fldChar w:fldCharType="begin"/>
            </w:r>
            <w:r w:rsidR="0AAA0FB5">
              <w:instrText>PAGEREF _Toc511232462 \h</w:instrText>
            </w:r>
            <w:r w:rsidR="0AAA0FB5">
              <w:fldChar w:fldCharType="separate"/>
            </w:r>
            <w:r w:rsidRPr="26E9DF75">
              <w:rPr>
                <w:rStyle w:val="Hyperlink"/>
              </w:rPr>
              <w:t>13</w:t>
            </w:r>
            <w:r w:rsidR="0AAA0FB5">
              <w:fldChar w:fldCharType="end"/>
            </w:r>
          </w:hyperlink>
        </w:p>
        <w:p w14:paraId="0B3C89B6" w14:textId="0273751F" w:rsidR="00AD3201" w:rsidRDefault="26E9DF75" w:rsidP="26E9DF75">
          <w:pPr>
            <w:pStyle w:val="TOC3"/>
            <w:tabs>
              <w:tab w:val="right" w:leader="dot" w:pos="9345"/>
            </w:tabs>
            <w:rPr>
              <w:rStyle w:val="Hyperlink"/>
              <w:noProof/>
              <w:kern w:val="2"/>
              <w14:ligatures w14:val="standardContextual"/>
            </w:rPr>
          </w:pPr>
          <w:hyperlink w:anchor="_Toc2007495347">
            <w:r w:rsidRPr="26E9DF75">
              <w:rPr>
                <w:rStyle w:val="Hyperlink"/>
              </w:rPr>
              <w:t>Chart 11: Mastery Percentage by Learning Outcome and Year</w:t>
            </w:r>
            <w:r w:rsidR="0AAA0FB5">
              <w:tab/>
            </w:r>
            <w:r w:rsidR="0AAA0FB5">
              <w:fldChar w:fldCharType="begin"/>
            </w:r>
            <w:r w:rsidR="0AAA0FB5">
              <w:instrText>PAGEREF _Toc2007495347 \h</w:instrText>
            </w:r>
            <w:r w:rsidR="0AAA0FB5">
              <w:fldChar w:fldCharType="separate"/>
            </w:r>
            <w:r w:rsidRPr="26E9DF75">
              <w:rPr>
                <w:rStyle w:val="Hyperlink"/>
              </w:rPr>
              <w:t>14</w:t>
            </w:r>
            <w:r w:rsidR="0AAA0FB5">
              <w:fldChar w:fldCharType="end"/>
            </w:r>
          </w:hyperlink>
        </w:p>
        <w:p w14:paraId="2C7BBD05" w14:textId="634DDC20" w:rsidR="00AD3201" w:rsidRDefault="26E9DF75" w:rsidP="26E9DF75">
          <w:pPr>
            <w:pStyle w:val="TOC3"/>
            <w:tabs>
              <w:tab w:val="right" w:leader="dot" w:pos="9345"/>
            </w:tabs>
            <w:rPr>
              <w:rStyle w:val="Hyperlink"/>
              <w:noProof/>
              <w:kern w:val="2"/>
              <w14:ligatures w14:val="standardContextual"/>
            </w:rPr>
          </w:pPr>
          <w:hyperlink w:anchor="_Toc620575508">
            <w:r w:rsidRPr="26E9DF75">
              <w:rPr>
                <w:rStyle w:val="Hyperlink"/>
              </w:rPr>
              <w:t>Chart 12: Progressing Percentage by Learning Outcome and Year</w:t>
            </w:r>
            <w:r w:rsidR="0AAA0FB5">
              <w:tab/>
            </w:r>
            <w:r w:rsidR="0AAA0FB5">
              <w:fldChar w:fldCharType="begin"/>
            </w:r>
            <w:r w:rsidR="0AAA0FB5">
              <w:instrText>PAGEREF _Toc620575508 \h</w:instrText>
            </w:r>
            <w:r w:rsidR="0AAA0FB5">
              <w:fldChar w:fldCharType="separate"/>
            </w:r>
            <w:r w:rsidRPr="26E9DF75">
              <w:rPr>
                <w:rStyle w:val="Hyperlink"/>
              </w:rPr>
              <w:t>15</w:t>
            </w:r>
            <w:r w:rsidR="0AAA0FB5">
              <w:fldChar w:fldCharType="end"/>
            </w:r>
          </w:hyperlink>
        </w:p>
        <w:p w14:paraId="220F419C" w14:textId="6D0BF569" w:rsidR="00AD3201" w:rsidRDefault="26E9DF75" w:rsidP="26E9DF75">
          <w:pPr>
            <w:pStyle w:val="TOC1"/>
            <w:tabs>
              <w:tab w:val="clear" w:pos="9350"/>
              <w:tab w:val="right" w:leader="dot" w:pos="9345"/>
            </w:tabs>
            <w:rPr>
              <w:rStyle w:val="Hyperlink"/>
              <w:noProof/>
              <w:kern w:val="2"/>
              <w14:ligatures w14:val="standardContextual"/>
            </w:rPr>
          </w:pPr>
          <w:hyperlink w:anchor="_Toc116420072">
            <w:r w:rsidRPr="26E9DF75">
              <w:rPr>
                <w:rStyle w:val="Hyperlink"/>
              </w:rPr>
              <w:t>Significant Assessment Findings</w:t>
            </w:r>
            <w:r w:rsidR="0AAA0FB5">
              <w:tab/>
            </w:r>
            <w:r w:rsidR="0AAA0FB5">
              <w:fldChar w:fldCharType="begin"/>
            </w:r>
            <w:r w:rsidR="0AAA0FB5">
              <w:instrText>PAGEREF _Toc116420072 \h</w:instrText>
            </w:r>
            <w:r w:rsidR="0AAA0FB5">
              <w:fldChar w:fldCharType="separate"/>
            </w:r>
            <w:r w:rsidRPr="26E9DF75">
              <w:rPr>
                <w:rStyle w:val="Hyperlink"/>
              </w:rPr>
              <w:t>15</w:t>
            </w:r>
            <w:r w:rsidR="0AAA0FB5">
              <w:fldChar w:fldCharType="end"/>
            </w:r>
          </w:hyperlink>
        </w:p>
        <w:p w14:paraId="3E54BA84" w14:textId="7CA97E6A" w:rsidR="00AD3201" w:rsidRDefault="26E9DF75" w:rsidP="26E9DF75">
          <w:pPr>
            <w:pStyle w:val="TOC1"/>
            <w:tabs>
              <w:tab w:val="clear" w:pos="9350"/>
              <w:tab w:val="right" w:leader="dot" w:pos="9345"/>
            </w:tabs>
            <w:rPr>
              <w:rStyle w:val="Hyperlink"/>
              <w:noProof/>
              <w:kern w:val="2"/>
              <w14:ligatures w14:val="standardContextual"/>
            </w:rPr>
          </w:pPr>
          <w:hyperlink w:anchor="_Toc995963344">
            <w:r w:rsidRPr="26E9DF75">
              <w:rPr>
                <w:rStyle w:val="Hyperlink"/>
              </w:rPr>
              <w:t>Summary and Recommendations</w:t>
            </w:r>
            <w:r w:rsidR="0AAA0FB5">
              <w:tab/>
            </w:r>
            <w:r w:rsidR="0AAA0FB5">
              <w:fldChar w:fldCharType="begin"/>
            </w:r>
            <w:r w:rsidR="0AAA0FB5">
              <w:instrText>PAGEREF _Toc995963344 \h</w:instrText>
            </w:r>
            <w:r w:rsidR="0AAA0FB5">
              <w:fldChar w:fldCharType="separate"/>
            </w:r>
            <w:r w:rsidRPr="26E9DF75">
              <w:rPr>
                <w:rStyle w:val="Hyperlink"/>
              </w:rPr>
              <w:t>17</w:t>
            </w:r>
            <w:r w:rsidR="0AAA0FB5">
              <w:fldChar w:fldCharType="end"/>
            </w:r>
          </w:hyperlink>
        </w:p>
        <w:p w14:paraId="3473B12A" w14:textId="619D72D1" w:rsidR="0945F12E" w:rsidRDefault="26E9DF75" w:rsidP="26E9DF75">
          <w:pPr>
            <w:pStyle w:val="TOC1"/>
            <w:tabs>
              <w:tab w:val="clear" w:pos="9350"/>
              <w:tab w:val="right" w:leader="dot" w:pos="9345"/>
            </w:tabs>
            <w:rPr>
              <w:rStyle w:val="Hyperlink"/>
            </w:rPr>
          </w:pPr>
          <w:hyperlink w:anchor="_Toc1692723115">
            <w:r w:rsidRPr="26E9DF75">
              <w:rPr>
                <w:rStyle w:val="Hyperlink"/>
              </w:rPr>
              <w:t>Assessment Committee</w:t>
            </w:r>
            <w:r w:rsidR="0AAA0FB5">
              <w:tab/>
            </w:r>
            <w:r w:rsidR="0AAA0FB5">
              <w:fldChar w:fldCharType="begin"/>
            </w:r>
            <w:r w:rsidR="0AAA0FB5">
              <w:instrText>PAGEREF _Toc1692723115 \h</w:instrText>
            </w:r>
            <w:r w:rsidR="0AAA0FB5">
              <w:fldChar w:fldCharType="separate"/>
            </w:r>
            <w:r w:rsidRPr="26E9DF75">
              <w:rPr>
                <w:rStyle w:val="Hyperlink"/>
              </w:rPr>
              <w:t>19</w:t>
            </w:r>
            <w:r w:rsidR="0AAA0FB5">
              <w:fldChar w:fldCharType="end"/>
            </w:r>
          </w:hyperlink>
          <w:r w:rsidR="0AAA0FB5">
            <w:fldChar w:fldCharType="end"/>
          </w:r>
        </w:p>
      </w:sdtContent>
    </w:sdt>
    <w:p w14:paraId="443267ED" w14:textId="2A765DC5" w:rsidR="00E8795C" w:rsidRDefault="00E8795C" w:rsidP="0AFEF033">
      <w:pPr>
        <w:pStyle w:val="TOC1"/>
        <w:tabs>
          <w:tab w:val="clear" w:pos="9350"/>
          <w:tab w:val="right" w:leader="dot" w:pos="9345"/>
        </w:tabs>
        <w:rPr>
          <w:rStyle w:val="Hyperlink"/>
          <w:noProof/>
          <w:kern w:val="2"/>
          <w14:ligatures w14:val="standardContextual"/>
        </w:rPr>
      </w:pPr>
    </w:p>
    <w:p w14:paraId="630D5E3D" w14:textId="3442BD99" w:rsidR="00BA7CB9" w:rsidRDefault="00BA7CB9" w:rsidP="5EA9D3E0">
      <w:pPr>
        <w:pStyle w:val="TOC1"/>
        <w:tabs>
          <w:tab w:val="clear" w:pos="9350"/>
          <w:tab w:val="right" w:leader="dot" w:pos="9345"/>
        </w:tabs>
        <w:rPr>
          <w:rStyle w:val="Hyperlink"/>
          <w:noProof/>
          <w:kern w:val="2"/>
          <w14:ligatures w14:val="standardContextual"/>
        </w:rPr>
      </w:pPr>
    </w:p>
    <w:p w14:paraId="363EB002" w14:textId="12E53383" w:rsidR="002611F4" w:rsidRDefault="002611F4"/>
    <w:p w14:paraId="0BDF3AAD" w14:textId="02E2FF19" w:rsidR="003361EC" w:rsidRDefault="003361EC">
      <w:pPr>
        <w:rPr>
          <w:rFonts w:cstheme="minorHAnsi"/>
          <w:sz w:val="24"/>
          <w:szCs w:val="24"/>
        </w:rPr>
      </w:pPr>
    </w:p>
    <w:p w14:paraId="1984F100" w14:textId="38DDC15D" w:rsidR="003361EC" w:rsidRDefault="003361EC" w:rsidP="00CD65F2">
      <w:pPr>
        <w:jc w:val="center"/>
        <w:rPr>
          <w:rFonts w:cstheme="minorHAnsi"/>
          <w:sz w:val="24"/>
          <w:szCs w:val="24"/>
        </w:rPr>
      </w:pPr>
    </w:p>
    <w:p w14:paraId="6EA0E54B" w14:textId="77777777" w:rsidR="00CD65F2" w:rsidRDefault="00CD65F2">
      <w:pPr>
        <w:rPr>
          <w:rFonts w:cstheme="minorHAnsi"/>
          <w:i/>
          <w:iCs/>
          <w:sz w:val="24"/>
          <w:szCs w:val="24"/>
          <w:shd w:val="clear" w:color="auto" w:fill="FFFFFF"/>
        </w:rPr>
      </w:pPr>
    </w:p>
    <w:p w14:paraId="09038A1F" w14:textId="77777777" w:rsidR="00CD65F2" w:rsidRDefault="00CD65F2">
      <w:pPr>
        <w:rPr>
          <w:rFonts w:cstheme="minorHAnsi"/>
          <w:i/>
          <w:iCs/>
          <w:sz w:val="24"/>
          <w:szCs w:val="24"/>
          <w:shd w:val="clear" w:color="auto" w:fill="FFFFFF"/>
        </w:rPr>
      </w:pPr>
    </w:p>
    <w:p w14:paraId="6F5B5DB1" w14:textId="77777777" w:rsidR="002611F4" w:rsidRDefault="002611F4">
      <w:pPr>
        <w:rPr>
          <w:rFonts w:cstheme="minorHAnsi"/>
          <w:i/>
          <w:iCs/>
          <w:sz w:val="24"/>
          <w:szCs w:val="24"/>
          <w:shd w:val="clear" w:color="auto" w:fill="FFFFFF"/>
        </w:rPr>
      </w:pPr>
      <w:r>
        <w:rPr>
          <w:rFonts w:cstheme="minorHAnsi"/>
          <w:i/>
          <w:iCs/>
          <w:sz w:val="24"/>
          <w:szCs w:val="24"/>
          <w:shd w:val="clear" w:color="auto" w:fill="FFFFFF"/>
        </w:rPr>
        <w:br w:type="page"/>
      </w:r>
    </w:p>
    <w:p w14:paraId="35AB9C2F" w14:textId="77777777" w:rsidR="00AA0575" w:rsidRDefault="00AA0575" w:rsidP="007A3EC8">
      <w:pPr>
        <w:rPr>
          <w:rFonts w:cstheme="minorHAnsi"/>
          <w:sz w:val="24"/>
          <w:szCs w:val="24"/>
          <w:shd w:val="clear" w:color="auto" w:fill="FFFFFF"/>
        </w:rPr>
      </w:pPr>
    </w:p>
    <w:p w14:paraId="1EEBF587" w14:textId="77777777" w:rsidR="00AA0575" w:rsidRDefault="00AA0575" w:rsidP="007A3EC8">
      <w:pPr>
        <w:rPr>
          <w:rFonts w:cstheme="minorHAnsi"/>
          <w:sz w:val="24"/>
          <w:szCs w:val="24"/>
          <w:shd w:val="clear" w:color="auto" w:fill="FFFFFF"/>
        </w:rPr>
      </w:pPr>
    </w:p>
    <w:p w14:paraId="613200AA" w14:textId="13938F45" w:rsidR="007A3EC8" w:rsidRPr="0065159B" w:rsidRDefault="00282845" w:rsidP="007A3EC8">
      <w:pPr>
        <w:rPr>
          <w:rFonts w:cstheme="minorHAnsi"/>
          <w:sz w:val="24"/>
          <w:szCs w:val="24"/>
          <w:shd w:val="clear" w:color="auto" w:fill="FFFFFF"/>
        </w:rPr>
      </w:pPr>
      <w:r w:rsidRPr="0065159B">
        <w:rPr>
          <w:rFonts w:cstheme="minorHAnsi"/>
          <w:sz w:val="24"/>
          <w:szCs w:val="24"/>
          <w:shd w:val="clear" w:color="auto" w:fill="FFFFFF"/>
        </w:rPr>
        <w:t>“A</w:t>
      </w:r>
      <w:r w:rsidR="007A3EC8" w:rsidRPr="007A3EC8">
        <w:rPr>
          <w:rFonts w:cstheme="minorHAnsi"/>
          <w:sz w:val="24"/>
          <w:szCs w:val="24"/>
          <w:shd w:val="clear" w:color="auto" w:fill="FFFFFF"/>
        </w:rPr>
        <w:t>n institution’s assessment practices are a</w:t>
      </w:r>
      <w:r w:rsidR="007A3EC8" w:rsidRPr="0065159B">
        <w:rPr>
          <w:rFonts w:cstheme="minorHAnsi"/>
          <w:sz w:val="24"/>
          <w:szCs w:val="24"/>
          <w:shd w:val="clear" w:color="auto" w:fill="FFFFFF"/>
        </w:rPr>
        <w:t xml:space="preserve"> </w:t>
      </w:r>
      <w:r w:rsidR="007A3EC8" w:rsidRPr="007A3EC8">
        <w:rPr>
          <w:rFonts w:cstheme="minorHAnsi"/>
          <w:sz w:val="24"/>
          <w:szCs w:val="24"/>
          <w:shd w:val="clear" w:color="auto" w:fill="FFFFFF"/>
        </w:rPr>
        <w:t>reflection of its values. In other words, the values of an institution are revealed</w:t>
      </w:r>
      <w:r w:rsidR="007A3EC8" w:rsidRPr="0065159B">
        <w:rPr>
          <w:rFonts w:cstheme="minorHAnsi"/>
          <w:sz w:val="24"/>
          <w:szCs w:val="24"/>
          <w:shd w:val="clear" w:color="auto" w:fill="FFFFFF"/>
        </w:rPr>
        <w:t xml:space="preserve"> </w:t>
      </w:r>
      <w:r w:rsidR="007A3EC8" w:rsidRPr="007A3EC8">
        <w:rPr>
          <w:rFonts w:cstheme="minorHAnsi"/>
          <w:sz w:val="24"/>
          <w:szCs w:val="24"/>
          <w:shd w:val="clear" w:color="auto" w:fill="FFFFFF"/>
        </w:rPr>
        <w:t>in the information about itself that it gathers and pays attention to. A second,</w:t>
      </w:r>
      <w:r w:rsidR="007A3EC8" w:rsidRPr="0065159B">
        <w:rPr>
          <w:rFonts w:cstheme="minorHAnsi"/>
          <w:sz w:val="24"/>
          <w:szCs w:val="24"/>
          <w:shd w:val="clear" w:color="auto" w:fill="FFFFFF"/>
        </w:rPr>
        <w:t xml:space="preserve"> </w:t>
      </w:r>
      <w:r w:rsidR="007A3EC8" w:rsidRPr="007A3EC8">
        <w:rPr>
          <w:rFonts w:cstheme="minorHAnsi"/>
          <w:sz w:val="24"/>
          <w:szCs w:val="24"/>
          <w:shd w:val="clear" w:color="auto" w:fill="FFFFFF"/>
        </w:rPr>
        <w:t>and perhaps more fundamental, premise is that assessment practices should</w:t>
      </w:r>
      <w:r w:rsidR="007A3EC8" w:rsidRPr="0065159B">
        <w:rPr>
          <w:rFonts w:cstheme="minorHAnsi"/>
          <w:sz w:val="24"/>
          <w:szCs w:val="24"/>
          <w:shd w:val="clear" w:color="auto" w:fill="FFFFFF"/>
        </w:rPr>
        <w:t xml:space="preserve"> </w:t>
      </w:r>
      <w:r w:rsidR="007A3EC8" w:rsidRPr="007A3EC8">
        <w:rPr>
          <w:rFonts w:cstheme="minorHAnsi"/>
          <w:sz w:val="24"/>
          <w:szCs w:val="24"/>
          <w:shd w:val="clear" w:color="auto" w:fill="FFFFFF"/>
        </w:rPr>
        <w:t>further the basic aims and purposes of our higher education institutions. We</w:t>
      </w:r>
      <w:r w:rsidR="007A3EC8" w:rsidRPr="0065159B">
        <w:rPr>
          <w:rFonts w:cstheme="minorHAnsi"/>
          <w:sz w:val="24"/>
          <w:szCs w:val="24"/>
          <w:shd w:val="clear" w:color="auto" w:fill="FFFFFF"/>
        </w:rPr>
        <w:t xml:space="preserve"> </w:t>
      </w:r>
      <w:r w:rsidR="007A3EC8" w:rsidRPr="007A3EC8">
        <w:rPr>
          <w:rFonts w:cstheme="minorHAnsi"/>
          <w:sz w:val="24"/>
          <w:szCs w:val="24"/>
          <w:shd w:val="clear" w:color="auto" w:fill="FFFFFF"/>
        </w:rPr>
        <w:t>might consider these two premises, respectively, as the “is” and the “ought”</w:t>
      </w:r>
      <w:r w:rsidR="007A3EC8" w:rsidRPr="0065159B">
        <w:rPr>
          <w:rFonts w:cstheme="minorHAnsi"/>
          <w:sz w:val="24"/>
          <w:szCs w:val="24"/>
          <w:shd w:val="clear" w:color="auto" w:fill="FFFFFF"/>
        </w:rPr>
        <w:t xml:space="preserve"> of assessment in higher education.</w:t>
      </w:r>
      <w:r w:rsidR="00B92371" w:rsidRPr="0065159B">
        <w:rPr>
          <w:rFonts w:cstheme="minorHAnsi"/>
          <w:sz w:val="24"/>
          <w:szCs w:val="24"/>
          <w:shd w:val="clear" w:color="auto" w:fill="FFFFFF"/>
        </w:rPr>
        <w:t>”</w:t>
      </w:r>
    </w:p>
    <w:p w14:paraId="183D750A" w14:textId="2FFFA76C" w:rsidR="00CD65F2" w:rsidRDefault="00CD65F2" w:rsidP="007A3EC8">
      <w:pPr>
        <w:jc w:val="right"/>
        <w:rPr>
          <w:rFonts w:cstheme="minorHAnsi"/>
          <w:sz w:val="24"/>
          <w:szCs w:val="24"/>
          <w:shd w:val="clear" w:color="auto" w:fill="FFFFFF"/>
        </w:rPr>
      </w:pPr>
      <w:r>
        <w:rPr>
          <w:rFonts w:cstheme="minorHAnsi"/>
          <w:sz w:val="24"/>
          <w:szCs w:val="24"/>
          <w:shd w:val="clear" w:color="auto" w:fill="FFFFFF"/>
        </w:rPr>
        <w:t xml:space="preserve">- </w:t>
      </w:r>
      <w:r w:rsidR="00282845">
        <w:rPr>
          <w:rFonts w:cstheme="minorHAnsi"/>
          <w:sz w:val="24"/>
          <w:szCs w:val="24"/>
          <w:shd w:val="clear" w:color="auto" w:fill="FFFFFF"/>
        </w:rPr>
        <w:t xml:space="preserve">Alexander Astin, </w:t>
      </w:r>
      <w:r w:rsidR="00282845" w:rsidRPr="0065159B">
        <w:rPr>
          <w:rFonts w:cstheme="minorHAnsi"/>
          <w:i/>
          <w:iCs/>
          <w:sz w:val="24"/>
          <w:szCs w:val="24"/>
          <w:shd w:val="clear" w:color="auto" w:fill="FFFFFF"/>
        </w:rPr>
        <w:t>Assessment for Excellence</w:t>
      </w:r>
    </w:p>
    <w:p w14:paraId="36041737" w14:textId="55FB633C" w:rsidR="006D3A72" w:rsidRDefault="006D3A72" w:rsidP="00CD65F2">
      <w:pPr>
        <w:jc w:val="right"/>
        <w:rPr>
          <w:rFonts w:cstheme="minorHAnsi"/>
          <w:sz w:val="24"/>
          <w:szCs w:val="24"/>
          <w:shd w:val="clear" w:color="auto" w:fill="FFFFFF"/>
        </w:rPr>
      </w:pPr>
    </w:p>
    <w:p w14:paraId="281ACEDD" w14:textId="277EB480" w:rsidR="006D3A72" w:rsidRDefault="006D3A72" w:rsidP="006D3A72">
      <w:pPr>
        <w:rPr>
          <w:rFonts w:cstheme="minorHAnsi"/>
          <w:sz w:val="24"/>
          <w:szCs w:val="24"/>
          <w:shd w:val="clear" w:color="auto" w:fill="FFFFFF"/>
        </w:rPr>
      </w:pPr>
    </w:p>
    <w:p w14:paraId="42DF5F87" w14:textId="0E608D65" w:rsidR="006D3A72" w:rsidRDefault="006D3A72" w:rsidP="006D3A72">
      <w:pPr>
        <w:rPr>
          <w:rFonts w:cstheme="minorHAnsi"/>
          <w:sz w:val="24"/>
          <w:szCs w:val="24"/>
          <w:shd w:val="clear" w:color="auto" w:fill="FFFFFF"/>
        </w:rPr>
      </w:pPr>
    </w:p>
    <w:p w14:paraId="71437CC8" w14:textId="77777777" w:rsidR="006D3A72" w:rsidRDefault="006D3A72" w:rsidP="006D3A72">
      <w:pPr>
        <w:spacing w:after="0"/>
        <w:rPr>
          <w:rFonts w:cstheme="minorHAnsi"/>
          <w:sz w:val="24"/>
          <w:szCs w:val="24"/>
        </w:rPr>
      </w:pPr>
    </w:p>
    <w:p w14:paraId="69B90695" w14:textId="77777777" w:rsidR="00137E4F" w:rsidRDefault="00137E4F" w:rsidP="006D3A72">
      <w:pPr>
        <w:spacing w:after="0"/>
        <w:rPr>
          <w:rFonts w:cstheme="minorHAnsi"/>
          <w:sz w:val="24"/>
          <w:szCs w:val="24"/>
        </w:rPr>
      </w:pPr>
    </w:p>
    <w:p w14:paraId="49269F0E" w14:textId="77777777" w:rsidR="00137E4F" w:rsidRDefault="00137E4F" w:rsidP="006D3A72">
      <w:pPr>
        <w:spacing w:after="0"/>
        <w:rPr>
          <w:rFonts w:cstheme="minorHAnsi"/>
          <w:sz w:val="24"/>
          <w:szCs w:val="24"/>
        </w:rPr>
      </w:pPr>
    </w:p>
    <w:p w14:paraId="3968ABFB" w14:textId="77777777" w:rsidR="00137E4F" w:rsidRDefault="00137E4F" w:rsidP="006D3A72">
      <w:pPr>
        <w:spacing w:after="0"/>
        <w:rPr>
          <w:rFonts w:cstheme="minorHAnsi"/>
          <w:sz w:val="24"/>
          <w:szCs w:val="24"/>
        </w:rPr>
      </w:pPr>
    </w:p>
    <w:p w14:paraId="66358FF9" w14:textId="77777777" w:rsidR="00137E4F" w:rsidRDefault="00137E4F" w:rsidP="006D3A72">
      <w:pPr>
        <w:spacing w:after="0"/>
        <w:rPr>
          <w:rFonts w:cstheme="minorHAnsi"/>
          <w:sz w:val="24"/>
          <w:szCs w:val="24"/>
        </w:rPr>
      </w:pPr>
    </w:p>
    <w:p w14:paraId="6E2190C2" w14:textId="77777777" w:rsidR="00137E4F" w:rsidRDefault="00137E4F" w:rsidP="006D3A72">
      <w:pPr>
        <w:spacing w:after="0"/>
        <w:rPr>
          <w:rFonts w:cstheme="minorHAnsi"/>
          <w:sz w:val="24"/>
          <w:szCs w:val="24"/>
        </w:rPr>
      </w:pPr>
    </w:p>
    <w:p w14:paraId="63087588" w14:textId="77777777" w:rsidR="00137E4F" w:rsidRPr="00CD65F2" w:rsidRDefault="00137E4F" w:rsidP="006D3A72">
      <w:pPr>
        <w:spacing w:after="0"/>
        <w:rPr>
          <w:rFonts w:cstheme="minorHAnsi"/>
          <w:sz w:val="24"/>
          <w:szCs w:val="24"/>
        </w:rPr>
      </w:pPr>
    </w:p>
    <w:p w14:paraId="34236583" w14:textId="77777777" w:rsidR="003361EC" w:rsidRDefault="003361EC" w:rsidP="00BA6CDB">
      <w:pPr>
        <w:jc w:val="center"/>
        <w:rPr>
          <w:rFonts w:cstheme="minorHAnsi"/>
          <w:sz w:val="24"/>
          <w:szCs w:val="24"/>
        </w:rPr>
      </w:pPr>
    </w:p>
    <w:p w14:paraId="331D19EE" w14:textId="77777777" w:rsidR="003361EC" w:rsidRDefault="003361EC" w:rsidP="00BA6CDB">
      <w:pPr>
        <w:jc w:val="center"/>
        <w:rPr>
          <w:rFonts w:cstheme="minorHAnsi"/>
          <w:sz w:val="24"/>
          <w:szCs w:val="24"/>
        </w:rPr>
      </w:pPr>
    </w:p>
    <w:p w14:paraId="70286FA4" w14:textId="77777777" w:rsidR="00081A67" w:rsidRDefault="00081A67">
      <w:pPr>
        <w:rPr>
          <w:rFonts w:cstheme="minorHAnsi"/>
          <w:sz w:val="24"/>
          <w:szCs w:val="24"/>
        </w:rPr>
      </w:pPr>
    </w:p>
    <w:p w14:paraId="24F5615B" w14:textId="77777777" w:rsidR="00081A67" w:rsidRDefault="00081A67">
      <w:pPr>
        <w:rPr>
          <w:rFonts w:cstheme="minorHAnsi"/>
          <w:sz w:val="24"/>
          <w:szCs w:val="24"/>
        </w:rPr>
      </w:pPr>
    </w:p>
    <w:p w14:paraId="23779871" w14:textId="77777777" w:rsidR="00081A67" w:rsidRDefault="00081A67">
      <w:pPr>
        <w:rPr>
          <w:rFonts w:cstheme="minorHAnsi"/>
          <w:sz w:val="24"/>
          <w:szCs w:val="24"/>
        </w:rPr>
      </w:pPr>
    </w:p>
    <w:p w14:paraId="69F1FD7A" w14:textId="77777777" w:rsidR="00081A67" w:rsidRDefault="00081A67">
      <w:pPr>
        <w:rPr>
          <w:rFonts w:cstheme="minorHAnsi"/>
          <w:sz w:val="24"/>
          <w:szCs w:val="24"/>
        </w:rPr>
      </w:pPr>
    </w:p>
    <w:p w14:paraId="2BD2FF63" w14:textId="77777777" w:rsidR="00081A67" w:rsidRDefault="00081A67">
      <w:pPr>
        <w:rPr>
          <w:rFonts w:cstheme="minorHAnsi"/>
          <w:sz w:val="24"/>
          <w:szCs w:val="24"/>
        </w:rPr>
      </w:pPr>
    </w:p>
    <w:p w14:paraId="3FC584CE" w14:textId="77777777" w:rsidR="00081A67" w:rsidRDefault="00081A67">
      <w:pPr>
        <w:rPr>
          <w:rFonts w:cstheme="minorHAnsi"/>
          <w:sz w:val="24"/>
          <w:szCs w:val="24"/>
        </w:rPr>
      </w:pPr>
    </w:p>
    <w:p w14:paraId="703F1AD3" w14:textId="77777777" w:rsidR="0012353B" w:rsidRDefault="0012353B" w:rsidP="0012353B">
      <w:pPr>
        <w:spacing w:after="0"/>
        <w:rPr>
          <w:rFonts w:cstheme="minorHAnsi"/>
          <w:b/>
          <w:bCs/>
          <w:sz w:val="24"/>
          <w:szCs w:val="24"/>
        </w:rPr>
      </w:pPr>
    </w:p>
    <w:p w14:paraId="03C98BF3" w14:textId="77777777" w:rsidR="00420130" w:rsidRDefault="00420130" w:rsidP="0012353B">
      <w:pPr>
        <w:pStyle w:val="Heading1"/>
      </w:pPr>
    </w:p>
    <w:p w14:paraId="56E5CB09" w14:textId="77777777" w:rsidR="00420130" w:rsidRPr="00420130" w:rsidRDefault="00420130" w:rsidP="00420130"/>
    <w:p w14:paraId="084FBE37" w14:textId="69E2BCDA" w:rsidR="5EA9D3E0" w:rsidRDefault="5EA9D3E0"/>
    <w:p w14:paraId="5FFFE06A" w14:textId="00F40C16" w:rsidR="0227B4D4" w:rsidRDefault="0227B4D4" w:rsidP="0227B4D4">
      <w:pPr>
        <w:spacing w:line="276" w:lineRule="auto"/>
        <w:rPr>
          <w:rFonts w:ascii="Aptos" w:eastAsia="Aptos" w:hAnsi="Aptos" w:cs="Aptos"/>
          <w:color w:val="000000" w:themeColor="text1"/>
        </w:rPr>
      </w:pPr>
    </w:p>
    <w:p w14:paraId="2DDF6203" w14:textId="43B0EAB5" w:rsidR="0227B4D4" w:rsidRDefault="0227B4D4" w:rsidP="0227B4D4">
      <w:pPr>
        <w:spacing w:line="276" w:lineRule="auto"/>
        <w:rPr>
          <w:rFonts w:ascii="Aptos" w:eastAsia="Aptos" w:hAnsi="Aptos" w:cs="Aptos"/>
          <w:color w:val="000000" w:themeColor="text1"/>
        </w:rPr>
      </w:pPr>
    </w:p>
    <w:p w14:paraId="4CAA5694" w14:textId="35881572" w:rsidR="49151BC7" w:rsidRDefault="49151BC7" w:rsidP="0945F12E">
      <w:pPr>
        <w:pStyle w:val="Heading1"/>
      </w:pPr>
      <w:bookmarkStart w:id="0" w:name="_Toc228333178"/>
      <w:r>
        <w:t>Introduction</w:t>
      </w:r>
      <w:bookmarkEnd w:id="0"/>
    </w:p>
    <w:p w14:paraId="5B8455BB" w14:textId="49467A19" w:rsidR="49151BC7" w:rsidRDefault="49151BC7" w:rsidP="0227B4D4">
      <w:pPr>
        <w:spacing w:line="276" w:lineRule="auto"/>
        <w:rPr>
          <w:rFonts w:eastAsiaTheme="minorEastAsia"/>
          <w:color w:val="000000" w:themeColor="text1"/>
          <w:sz w:val="24"/>
          <w:szCs w:val="24"/>
        </w:rPr>
      </w:pPr>
      <w:r w:rsidRPr="0945F12E">
        <w:rPr>
          <w:rFonts w:eastAsiaTheme="minorEastAsia"/>
          <w:color w:val="000000" w:themeColor="text1"/>
          <w:sz w:val="24"/>
          <w:szCs w:val="24"/>
        </w:rPr>
        <w:t xml:space="preserve">This report provides an overview of institutional student learning assessment activities conducted at Johnson County Community College during the 2024–2025 academic year. It consolidates data from General Education Student Learning Outcomes (SLOs) and Institutional Learning Outcomes (ILOs), offering both quantitative summaries and qualitative reflections from faculty. The purpose of this report is to </w:t>
      </w:r>
      <w:r w:rsidR="202C1E01" w:rsidRPr="0945F12E">
        <w:rPr>
          <w:rFonts w:eastAsiaTheme="minorEastAsia"/>
          <w:color w:val="000000" w:themeColor="text1"/>
          <w:sz w:val="24"/>
          <w:szCs w:val="24"/>
        </w:rPr>
        <w:t xml:space="preserve">understand </w:t>
      </w:r>
      <w:r w:rsidRPr="0945F12E">
        <w:rPr>
          <w:rFonts w:eastAsiaTheme="minorEastAsia"/>
          <w:color w:val="000000" w:themeColor="text1"/>
          <w:sz w:val="24"/>
          <w:szCs w:val="24"/>
        </w:rPr>
        <w:t xml:space="preserve">how students demonstrate proficiency in key learning domains, to identify strengths and challenges, and to show how assessment findings </w:t>
      </w:r>
      <w:r w:rsidR="2473A99C" w:rsidRPr="0945F12E">
        <w:rPr>
          <w:rFonts w:eastAsiaTheme="minorEastAsia"/>
          <w:color w:val="000000" w:themeColor="text1"/>
          <w:sz w:val="24"/>
          <w:szCs w:val="24"/>
        </w:rPr>
        <w:t>guide</w:t>
      </w:r>
      <w:r w:rsidRPr="0945F12E">
        <w:rPr>
          <w:rFonts w:eastAsiaTheme="minorEastAsia"/>
          <w:color w:val="000000" w:themeColor="text1"/>
          <w:sz w:val="24"/>
          <w:szCs w:val="24"/>
        </w:rPr>
        <w:t xml:space="preserve"> curricular and pedagogical improvements across the college.</w:t>
      </w:r>
    </w:p>
    <w:p w14:paraId="483025FC" w14:textId="1731335A" w:rsidR="49151BC7" w:rsidRDefault="49151BC7" w:rsidP="0227B4D4">
      <w:pPr>
        <w:spacing w:line="276" w:lineRule="auto"/>
        <w:rPr>
          <w:rFonts w:eastAsiaTheme="minorEastAsia"/>
          <w:color w:val="000000" w:themeColor="text1"/>
          <w:sz w:val="24"/>
          <w:szCs w:val="24"/>
        </w:rPr>
      </w:pPr>
      <w:r w:rsidRPr="0945F12E">
        <w:rPr>
          <w:rFonts w:eastAsiaTheme="minorEastAsia"/>
          <w:color w:val="000000" w:themeColor="text1"/>
          <w:sz w:val="24"/>
          <w:szCs w:val="24"/>
        </w:rPr>
        <w:t xml:space="preserve">Student learning assessment is central to JCCC’s mission of advancing equitable student success through quality teaching, meaningful engagement, and intentional reflection on evidence. The 2025 assessment cycle signifies a period of increased faculty participation, broader outcome coverage, and </w:t>
      </w:r>
      <w:r w:rsidR="2B47EB9D" w:rsidRPr="0945F12E">
        <w:rPr>
          <w:rFonts w:eastAsiaTheme="minorEastAsia"/>
          <w:color w:val="000000" w:themeColor="text1"/>
          <w:sz w:val="24"/>
          <w:szCs w:val="24"/>
        </w:rPr>
        <w:t xml:space="preserve">further </w:t>
      </w:r>
      <w:r w:rsidRPr="0945F12E">
        <w:rPr>
          <w:rFonts w:eastAsiaTheme="minorEastAsia"/>
          <w:color w:val="000000" w:themeColor="text1"/>
          <w:sz w:val="24"/>
          <w:szCs w:val="24"/>
        </w:rPr>
        <w:t>integration of assessment with program review. Although data limitations remain</w:t>
      </w:r>
      <w:r w:rsidR="4EC7075D" w:rsidRPr="0945F12E">
        <w:rPr>
          <w:rFonts w:eastAsiaTheme="minorEastAsia"/>
          <w:color w:val="000000" w:themeColor="text1"/>
          <w:sz w:val="24"/>
          <w:szCs w:val="24"/>
        </w:rPr>
        <w:t xml:space="preserve">, </w:t>
      </w:r>
      <w:r w:rsidRPr="0945F12E">
        <w:rPr>
          <w:rFonts w:eastAsiaTheme="minorEastAsia"/>
          <w:color w:val="000000" w:themeColor="text1"/>
          <w:sz w:val="24"/>
          <w:szCs w:val="24"/>
        </w:rPr>
        <w:t>including uneven assessment coverage, inconsistent alignment practices, and methodological variation</w:t>
      </w:r>
      <w:r w:rsidR="2BBDEDDC" w:rsidRPr="0945F12E">
        <w:rPr>
          <w:rFonts w:eastAsiaTheme="minorEastAsia"/>
          <w:color w:val="000000" w:themeColor="text1"/>
          <w:sz w:val="24"/>
          <w:szCs w:val="24"/>
        </w:rPr>
        <w:t xml:space="preserve">, </w:t>
      </w:r>
      <w:r w:rsidRPr="0945F12E">
        <w:rPr>
          <w:rFonts w:eastAsiaTheme="minorEastAsia"/>
          <w:color w:val="000000" w:themeColor="text1"/>
          <w:sz w:val="24"/>
          <w:szCs w:val="24"/>
        </w:rPr>
        <w:t xml:space="preserve">the overall evidence indicates measurable improvements in participation, more accurate </w:t>
      </w:r>
      <w:r w:rsidR="008059DA">
        <w:rPr>
          <w:rFonts w:eastAsiaTheme="minorEastAsia"/>
          <w:color w:val="000000" w:themeColor="text1"/>
          <w:sz w:val="24"/>
          <w:szCs w:val="24"/>
        </w:rPr>
        <w:t>tracking</w:t>
      </w:r>
      <w:r w:rsidRPr="0945F12E">
        <w:rPr>
          <w:rFonts w:eastAsiaTheme="minorEastAsia"/>
          <w:color w:val="000000" w:themeColor="text1"/>
          <w:sz w:val="24"/>
          <w:szCs w:val="24"/>
        </w:rPr>
        <w:t xml:space="preserve"> </w:t>
      </w:r>
      <w:r w:rsidR="008059DA">
        <w:rPr>
          <w:rFonts w:eastAsiaTheme="minorEastAsia"/>
          <w:color w:val="000000" w:themeColor="text1"/>
          <w:sz w:val="24"/>
          <w:szCs w:val="24"/>
        </w:rPr>
        <w:t>of outcomes</w:t>
      </w:r>
      <w:r w:rsidRPr="0945F12E">
        <w:rPr>
          <w:rFonts w:eastAsiaTheme="minorEastAsia"/>
          <w:color w:val="000000" w:themeColor="text1"/>
          <w:sz w:val="24"/>
          <w:szCs w:val="24"/>
        </w:rPr>
        <w:t>, and greater faculty engagement with the process.</w:t>
      </w:r>
    </w:p>
    <w:p w14:paraId="61E2C110" w14:textId="206C4072" w:rsidR="006D0310" w:rsidRDefault="54D9099D" w:rsidP="0945F12E">
      <w:pPr>
        <w:pStyle w:val="Heading1"/>
      </w:pPr>
      <w:bookmarkStart w:id="1" w:name="_Toc1810089989"/>
      <w:r>
        <w:t>Methods</w:t>
      </w:r>
      <w:bookmarkEnd w:id="1"/>
    </w:p>
    <w:p w14:paraId="47F01E4B" w14:textId="292E0EF6" w:rsidR="006D0310" w:rsidRPr="00424AC8" w:rsidRDefault="54D9099D" w:rsidP="00424AC8">
      <w:pPr>
        <w:spacing w:line="276" w:lineRule="auto"/>
        <w:rPr>
          <w:rFonts w:eastAsiaTheme="minorEastAsia"/>
          <w:color w:val="000000" w:themeColor="text1"/>
          <w:sz w:val="24"/>
          <w:szCs w:val="24"/>
        </w:rPr>
      </w:pPr>
      <w:r w:rsidRPr="0945F12E">
        <w:rPr>
          <w:rFonts w:eastAsiaTheme="minorEastAsia"/>
          <w:color w:val="000000" w:themeColor="text1"/>
          <w:sz w:val="24"/>
          <w:szCs w:val="24"/>
        </w:rPr>
        <w:t xml:space="preserve">Data for this report were collected through the college’s established assessment reporting processes during the 2024–2025 academic year. Faculty submitted assessment results for both General Education and Career and Technical Education courses, mapped respectively to the institution’s Student Learning Outcomes (SLOs) and Institutional Learning Outcomes (ILOs). Each submission included quantitative data on student performance categorized by mastery, progressing, and low/no skill levels. Additionally, some submissions included narrative commentary describing instructional approaches, assessment instruments, and planned “closing the loop” reflections. Currently, JCCC accepts ILO and SLO data submissions via </w:t>
      </w:r>
      <w:r w:rsidR="007E0B73">
        <w:rPr>
          <w:rFonts w:eastAsiaTheme="minorEastAsia"/>
          <w:color w:val="000000" w:themeColor="text1"/>
          <w:sz w:val="24"/>
          <w:szCs w:val="24"/>
        </w:rPr>
        <w:t>its Learning Management System (</w:t>
      </w:r>
      <w:r w:rsidRPr="0945F12E">
        <w:rPr>
          <w:rFonts w:eastAsiaTheme="minorEastAsia"/>
          <w:color w:val="000000" w:themeColor="text1"/>
          <w:sz w:val="24"/>
          <w:szCs w:val="24"/>
        </w:rPr>
        <w:t>Canvas</w:t>
      </w:r>
      <w:r w:rsidR="007E0B73">
        <w:rPr>
          <w:rFonts w:eastAsiaTheme="minorEastAsia"/>
          <w:color w:val="000000" w:themeColor="text1"/>
          <w:sz w:val="24"/>
          <w:szCs w:val="24"/>
        </w:rPr>
        <w:t>),</w:t>
      </w:r>
      <w:r w:rsidRPr="0945F12E">
        <w:rPr>
          <w:rFonts w:eastAsiaTheme="minorEastAsia"/>
          <w:color w:val="000000" w:themeColor="text1"/>
          <w:sz w:val="24"/>
          <w:szCs w:val="24"/>
        </w:rPr>
        <w:t xml:space="preserve"> physical copies provided to the A</w:t>
      </w:r>
      <w:r w:rsidR="00C71D33">
        <w:rPr>
          <w:rFonts w:eastAsiaTheme="minorEastAsia"/>
          <w:color w:val="000000" w:themeColor="text1"/>
          <w:sz w:val="24"/>
          <w:szCs w:val="24"/>
        </w:rPr>
        <w:t xml:space="preserve">ssessment, </w:t>
      </w:r>
      <w:r w:rsidRPr="0945F12E">
        <w:rPr>
          <w:rFonts w:eastAsiaTheme="minorEastAsia"/>
          <w:color w:val="000000" w:themeColor="text1"/>
          <w:sz w:val="24"/>
          <w:szCs w:val="24"/>
        </w:rPr>
        <w:t>E</w:t>
      </w:r>
      <w:r w:rsidR="00C71D33">
        <w:rPr>
          <w:rFonts w:eastAsiaTheme="minorEastAsia"/>
          <w:color w:val="000000" w:themeColor="text1"/>
          <w:sz w:val="24"/>
          <w:szCs w:val="24"/>
        </w:rPr>
        <w:t xml:space="preserve">valuation, and </w:t>
      </w:r>
      <w:r w:rsidRPr="0945F12E">
        <w:rPr>
          <w:rFonts w:eastAsiaTheme="minorEastAsia"/>
          <w:color w:val="000000" w:themeColor="text1"/>
          <w:sz w:val="24"/>
          <w:szCs w:val="24"/>
        </w:rPr>
        <w:t>I</w:t>
      </w:r>
      <w:r w:rsidR="00C71D33">
        <w:rPr>
          <w:rFonts w:eastAsiaTheme="minorEastAsia"/>
          <w:color w:val="000000" w:themeColor="text1"/>
          <w:sz w:val="24"/>
          <w:szCs w:val="24"/>
        </w:rPr>
        <w:t>nstitution</w:t>
      </w:r>
      <w:r w:rsidR="00790D66">
        <w:rPr>
          <w:rFonts w:eastAsiaTheme="minorEastAsia"/>
          <w:color w:val="000000" w:themeColor="text1"/>
          <w:sz w:val="24"/>
          <w:szCs w:val="24"/>
        </w:rPr>
        <w:t>al Outcomes (AEIO)</w:t>
      </w:r>
      <w:r w:rsidRPr="0945F12E">
        <w:rPr>
          <w:rFonts w:eastAsiaTheme="minorEastAsia"/>
          <w:color w:val="000000" w:themeColor="text1"/>
          <w:sz w:val="24"/>
          <w:szCs w:val="24"/>
        </w:rPr>
        <w:t xml:space="preserve"> office, and the JCCC Assessment Data Submission Form. A</w:t>
      </w:r>
      <w:r w:rsidR="00451348">
        <w:rPr>
          <w:rFonts w:eastAsiaTheme="minorEastAsia"/>
          <w:color w:val="000000" w:themeColor="text1"/>
          <w:sz w:val="24"/>
          <w:szCs w:val="24"/>
        </w:rPr>
        <w:t>EIO</w:t>
      </w:r>
      <w:r w:rsidRPr="0945F12E">
        <w:rPr>
          <w:rFonts w:eastAsiaTheme="minorEastAsia"/>
          <w:color w:val="000000" w:themeColor="text1"/>
          <w:sz w:val="24"/>
          <w:szCs w:val="24"/>
        </w:rPr>
        <w:t xml:space="preserve"> compiled </w:t>
      </w:r>
      <w:r w:rsidR="00451348">
        <w:rPr>
          <w:rFonts w:eastAsiaTheme="minorEastAsia"/>
          <w:color w:val="000000" w:themeColor="text1"/>
          <w:sz w:val="24"/>
          <w:szCs w:val="24"/>
        </w:rPr>
        <w:t>all submitted</w:t>
      </w:r>
      <w:r w:rsidRPr="0945F12E">
        <w:rPr>
          <w:rFonts w:eastAsiaTheme="minorEastAsia"/>
          <w:color w:val="000000" w:themeColor="text1"/>
          <w:sz w:val="24"/>
          <w:szCs w:val="24"/>
        </w:rPr>
        <w:t xml:space="preserve"> </w:t>
      </w:r>
      <w:r w:rsidR="00451348">
        <w:rPr>
          <w:rFonts w:eastAsiaTheme="minorEastAsia"/>
          <w:color w:val="000000" w:themeColor="text1"/>
          <w:sz w:val="24"/>
          <w:szCs w:val="24"/>
        </w:rPr>
        <w:t>data</w:t>
      </w:r>
      <w:r w:rsidRPr="0945F12E">
        <w:rPr>
          <w:rFonts w:eastAsiaTheme="minorEastAsia"/>
          <w:color w:val="000000" w:themeColor="text1"/>
          <w:sz w:val="24"/>
          <w:szCs w:val="24"/>
        </w:rPr>
        <w:t xml:space="preserve">. The results were organized by outcome and compared </w:t>
      </w:r>
      <w:r w:rsidR="502485DC" w:rsidRPr="0945F12E">
        <w:rPr>
          <w:rFonts w:eastAsiaTheme="minorEastAsia"/>
          <w:color w:val="000000" w:themeColor="text1"/>
          <w:sz w:val="24"/>
          <w:szCs w:val="24"/>
        </w:rPr>
        <w:t xml:space="preserve">to </w:t>
      </w:r>
      <w:r w:rsidRPr="0945F12E">
        <w:rPr>
          <w:rFonts w:eastAsiaTheme="minorEastAsia"/>
          <w:color w:val="000000" w:themeColor="text1"/>
          <w:sz w:val="24"/>
          <w:szCs w:val="24"/>
        </w:rPr>
        <w:t>data from the previous assessment cycle (2023–2024) to identify year-</w:t>
      </w:r>
      <w:r w:rsidR="62EBDA4F" w:rsidRPr="0945F12E">
        <w:rPr>
          <w:rFonts w:eastAsiaTheme="minorEastAsia"/>
          <w:color w:val="000000" w:themeColor="text1"/>
          <w:sz w:val="24"/>
          <w:szCs w:val="24"/>
        </w:rPr>
        <w:t>to</w:t>
      </w:r>
      <w:r w:rsidRPr="0945F12E">
        <w:rPr>
          <w:rFonts w:eastAsiaTheme="minorEastAsia"/>
          <w:color w:val="000000" w:themeColor="text1"/>
          <w:sz w:val="24"/>
          <w:szCs w:val="24"/>
        </w:rPr>
        <w:t xml:space="preserve">-year changes in participation and performance. Charts summarizing </w:t>
      </w:r>
      <w:r w:rsidR="00FA3B58">
        <w:rPr>
          <w:rFonts w:eastAsiaTheme="minorEastAsia"/>
          <w:color w:val="000000" w:themeColor="text1"/>
          <w:sz w:val="24"/>
          <w:szCs w:val="24"/>
        </w:rPr>
        <w:t xml:space="preserve">the levels of </w:t>
      </w:r>
      <w:r w:rsidRPr="0945F12E">
        <w:rPr>
          <w:rFonts w:eastAsiaTheme="minorEastAsia"/>
          <w:color w:val="000000" w:themeColor="text1"/>
          <w:sz w:val="24"/>
          <w:szCs w:val="24"/>
        </w:rPr>
        <w:t xml:space="preserve">Bloom’s Taxonomy were generated to </w:t>
      </w:r>
      <w:r w:rsidR="00FA3B58">
        <w:rPr>
          <w:rFonts w:eastAsiaTheme="minorEastAsia"/>
          <w:color w:val="000000" w:themeColor="text1"/>
          <w:sz w:val="24"/>
          <w:szCs w:val="24"/>
        </w:rPr>
        <w:t>assess</w:t>
      </w:r>
      <w:r w:rsidRPr="0945F12E">
        <w:rPr>
          <w:rFonts w:eastAsiaTheme="minorEastAsia"/>
          <w:color w:val="000000" w:themeColor="text1"/>
          <w:sz w:val="24"/>
          <w:szCs w:val="24"/>
        </w:rPr>
        <w:t xml:space="preserve"> cognitive rigor across submissions. No student-level tracking was employed; therefore, comparisons reflect differences across cohorts rather than longitudinal learning growth. Qualitative summaries of significant findings were directly drawn from faculty submissions on the JCCC Assessment Data Submission Form and were anonymized to maintain confidentiality.</w:t>
      </w:r>
    </w:p>
    <w:p w14:paraId="6CB8D2AC" w14:textId="13CA2C75" w:rsidR="006D0310" w:rsidRDefault="1609D532" w:rsidP="4AA52596">
      <w:pPr>
        <w:pStyle w:val="Heading1"/>
        <w:rPr>
          <w:rFonts w:ascii="Calibri Light" w:eastAsia="Calibri Light" w:hAnsi="Calibri Light" w:cs="Calibri Light"/>
        </w:rPr>
      </w:pPr>
      <w:bookmarkStart w:id="2" w:name="_Toc1566317436"/>
      <w:r w:rsidRPr="26E9DF75">
        <w:rPr>
          <w:rFonts w:ascii="Calibri Light" w:eastAsia="Calibri Light" w:hAnsi="Calibri Light" w:cs="Calibri Light"/>
        </w:rPr>
        <w:lastRenderedPageBreak/>
        <w:t>Executive Summary</w:t>
      </w:r>
      <w:bookmarkEnd w:id="2"/>
    </w:p>
    <w:p w14:paraId="0E7FE4E7" w14:textId="04A1E809" w:rsidR="006D0310" w:rsidRPr="00C62F64" w:rsidRDefault="1609D532" w:rsidP="4AA52596">
      <w:pPr>
        <w:rPr>
          <w:rFonts w:eastAsia="Calibri" w:cstheme="minorHAnsi"/>
          <w:sz w:val="24"/>
          <w:szCs w:val="24"/>
        </w:rPr>
      </w:pPr>
      <w:r w:rsidRPr="0945F12E">
        <w:rPr>
          <w:rFonts w:eastAsia="Calibri"/>
          <w:sz w:val="24"/>
          <w:szCs w:val="24"/>
        </w:rPr>
        <w:t>This report offers a comprehensive institutional perspective on student learning assessment at Johnson County Community College. It integrates data from general education Student Learning Outcomes (SLOs), Institutional Learning Outcomes (ILOs), and faculty “closing the loop” statements. The goal is to identify key patterns in student learning, areas of strength, and opportunities for improvement.</w:t>
      </w:r>
    </w:p>
    <w:p w14:paraId="19A461DA" w14:textId="25E972CA" w:rsidR="006D0310" w:rsidRPr="00C62F64" w:rsidRDefault="1609D532" w:rsidP="4AA52596">
      <w:pPr>
        <w:rPr>
          <w:rFonts w:ascii="Calibri" w:eastAsia="Calibri" w:hAnsi="Calibri" w:cs="Calibri"/>
          <w:sz w:val="24"/>
          <w:szCs w:val="24"/>
        </w:rPr>
      </w:pPr>
      <w:r w:rsidRPr="00C62F64">
        <w:rPr>
          <w:rFonts w:ascii="Calibri" w:eastAsia="Calibri" w:hAnsi="Calibri" w:cs="Calibri"/>
          <w:b/>
          <w:bCs/>
          <w:sz w:val="24"/>
          <w:szCs w:val="24"/>
        </w:rPr>
        <w:t>Headline results</w:t>
      </w:r>
    </w:p>
    <w:p w14:paraId="088751AB" w14:textId="516ABCD3" w:rsidR="006D0310" w:rsidRPr="00C62F64" w:rsidRDefault="1609D532" w:rsidP="4AA52596">
      <w:pPr>
        <w:pStyle w:val="ListParagraph"/>
        <w:numPr>
          <w:ilvl w:val="0"/>
          <w:numId w:val="5"/>
        </w:numPr>
        <w:rPr>
          <w:rFonts w:ascii="Calibri" w:eastAsia="Calibri" w:hAnsi="Calibri" w:cs="Calibri"/>
          <w:sz w:val="24"/>
          <w:szCs w:val="24"/>
        </w:rPr>
      </w:pPr>
      <w:r w:rsidRPr="00C62F64">
        <w:rPr>
          <w:rFonts w:ascii="Calibri" w:eastAsia="Calibri" w:hAnsi="Calibri" w:cs="Calibri"/>
          <w:b/>
          <w:bCs/>
          <w:sz w:val="24"/>
          <w:szCs w:val="24"/>
        </w:rPr>
        <w:t>Mixed performance rates:</w:t>
      </w:r>
      <w:r w:rsidRPr="00C62F64">
        <w:rPr>
          <w:rFonts w:ascii="Calibri" w:eastAsia="Calibri" w:hAnsi="Calibri" w:cs="Calibri"/>
          <w:sz w:val="24"/>
          <w:szCs w:val="24"/>
        </w:rPr>
        <w:t xml:space="preserve"> Mastery ranged from under 20% in some general education outcomes to over 70% in others, reflecting both disciplinary strengths and challenges.</w:t>
      </w:r>
    </w:p>
    <w:p w14:paraId="6D776BC4" w14:textId="161C7E10" w:rsidR="006D0310" w:rsidRPr="00C62F64" w:rsidRDefault="1609D532" w:rsidP="4AA52596">
      <w:pPr>
        <w:pStyle w:val="ListParagraph"/>
        <w:numPr>
          <w:ilvl w:val="0"/>
          <w:numId w:val="5"/>
        </w:numPr>
        <w:rPr>
          <w:rFonts w:ascii="Calibri" w:eastAsia="Calibri" w:hAnsi="Calibri" w:cs="Calibri"/>
          <w:sz w:val="24"/>
          <w:szCs w:val="24"/>
        </w:rPr>
      </w:pPr>
      <w:r w:rsidRPr="00C62F64">
        <w:rPr>
          <w:rFonts w:ascii="Calibri" w:eastAsia="Calibri" w:hAnsi="Calibri" w:cs="Calibri"/>
          <w:b/>
          <w:bCs/>
          <w:sz w:val="24"/>
          <w:szCs w:val="24"/>
        </w:rPr>
        <w:t>Action-oriented faculty response:</w:t>
      </w:r>
      <w:r w:rsidRPr="00C62F64">
        <w:rPr>
          <w:rFonts w:ascii="Calibri" w:eastAsia="Calibri" w:hAnsi="Calibri" w:cs="Calibri"/>
          <w:sz w:val="24"/>
          <w:szCs w:val="24"/>
        </w:rPr>
        <w:t xml:space="preserve"> Approximately 20% of faculty loop-closing reports were diagnostic, specific, and forward-looking. Others remained descriptive, limiting evidence of impact.</w:t>
      </w:r>
    </w:p>
    <w:p w14:paraId="2EDC725D" w14:textId="75B48222" w:rsidR="006D0310" w:rsidRPr="00C62F64" w:rsidRDefault="1609D532" w:rsidP="4AA52596">
      <w:pPr>
        <w:pStyle w:val="ListParagraph"/>
        <w:numPr>
          <w:ilvl w:val="0"/>
          <w:numId w:val="5"/>
        </w:numPr>
        <w:rPr>
          <w:rFonts w:ascii="Calibri" w:eastAsia="Calibri" w:hAnsi="Calibri" w:cs="Calibri"/>
          <w:sz w:val="24"/>
          <w:szCs w:val="24"/>
        </w:rPr>
      </w:pPr>
      <w:r w:rsidRPr="00C62F64">
        <w:rPr>
          <w:rFonts w:ascii="Calibri" w:eastAsia="Calibri" w:hAnsi="Calibri" w:cs="Calibri"/>
          <w:b/>
          <w:bCs/>
          <w:sz w:val="24"/>
          <w:szCs w:val="24"/>
        </w:rPr>
        <w:t>Assessment Submissions:</w:t>
      </w:r>
      <w:r w:rsidRPr="00C62F64">
        <w:rPr>
          <w:rFonts w:ascii="Calibri" w:eastAsia="Calibri" w:hAnsi="Calibri" w:cs="Calibri"/>
          <w:sz w:val="24"/>
          <w:szCs w:val="24"/>
        </w:rPr>
        <w:t xml:space="preserve"> The submission rate for AY 24-25 was 54%, a 20% improvement </w:t>
      </w:r>
      <w:r w:rsidR="009558D3">
        <w:rPr>
          <w:rFonts w:ascii="Calibri" w:eastAsia="Calibri" w:hAnsi="Calibri" w:cs="Calibri"/>
          <w:sz w:val="24"/>
          <w:szCs w:val="24"/>
        </w:rPr>
        <w:t>over</w:t>
      </w:r>
      <w:r w:rsidRPr="00C62F64">
        <w:rPr>
          <w:rFonts w:ascii="Calibri" w:eastAsia="Calibri" w:hAnsi="Calibri" w:cs="Calibri"/>
          <w:sz w:val="24"/>
          <w:szCs w:val="24"/>
        </w:rPr>
        <w:t xml:space="preserve"> previous years. </w:t>
      </w:r>
    </w:p>
    <w:p w14:paraId="334C0D7E" w14:textId="71CAFA0C" w:rsidR="006D0310" w:rsidRPr="00C62F64" w:rsidRDefault="1609D532" w:rsidP="4AA52596">
      <w:pPr>
        <w:rPr>
          <w:rFonts w:ascii="Calibri" w:eastAsia="Calibri" w:hAnsi="Calibri" w:cs="Calibri"/>
          <w:sz w:val="24"/>
          <w:szCs w:val="24"/>
        </w:rPr>
      </w:pPr>
      <w:r w:rsidRPr="00C62F64">
        <w:rPr>
          <w:rFonts w:ascii="Calibri" w:eastAsia="Calibri" w:hAnsi="Calibri" w:cs="Calibri"/>
          <w:b/>
          <w:bCs/>
          <w:sz w:val="24"/>
          <w:szCs w:val="24"/>
        </w:rPr>
        <w:t>Student Learning Outcomes (SLOs)</w:t>
      </w:r>
    </w:p>
    <w:p w14:paraId="3B5F1DBA" w14:textId="68C3E123" w:rsidR="006D0310" w:rsidRPr="00C62F64" w:rsidRDefault="1609D532" w:rsidP="4AA52596">
      <w:pPr>
        <w:pStyle w:val="ListParagraph"/>
        <w:numPr>
          <w:ilvl w:val="0"/>
          <w:numId w:val="4"/>
        </w:numPr>
        <w:rPr>
          <w:rFonts w:ascii="Calibri" w:eastAsia="Calibri" w:hAnsi="Calibri" w:cs="Calibri"/>
          <w:sz w:val="24"/>
          <w:szCs w:val="24"/>
        </w:rPr>
      </w:pPr>
      <w:r w:rsidRPr="00C62F64">
        <w:rPr>
          <w:rFonts w:ascii="Calibri" w:eastAsia="Calibri" w:hAnsi="Calibri" w:cs="Calibri"/>
          <w:b/>
          <w:bCs/>
          <w:sz w:val="24"/>
          <w:szCs w:val="24"/>
        </w:rPr>
        <w:t>Information Literacy (SLO 1):</w:t>
      </w:r>
      <w:r w:rsidRPr="00C62F64">
        <w:rPr>
          <w:rFonts w:ascii="Calibri" w:eastAsia="Calibri" w:hAnsi="Calibri" w:cs="Calibri"/>
          <w:sz w:val="24"/>
          <w:szCs w:val="24"/>
        </w:rPr>
        <w:t xml:space="preserve"> Out of 1,243 scores reported, 20% were mastery, while 15% scored at low/no skills. Progression levels remain high (65%).</w:t>
      </w:r>
    </w:p>
    <w:p w14:paraId="1C1435F3" w14:textId="038940F0" w:rsidR="006D0310" w:rsidRPr="00C62F64" w:rsidRDefault="1609D532" w:rsidP="4AA52596">
      <w:pPr>
        <w:pStyle w:val="ListParagraph"/>
        <w:numPr>
          <w:ilvl w:val="0"/>
          <w:numId w:val="4"/>
        </w:numPr>
        <w:rPr>
          <w:rFonts w:ascii="Calibri" w:eastAsia="Calibri" w:hAnsi="Calibri" w:cs="Calibri"/>
          <w:sz w:val="24"/>
          <w:szCs w:val="24"/>
        </w:rPr>
      </w:pPr>
      <w:r w:rsidRPr="00C62F64">
        <w:rPr>
          <w:rFonts w:ascii="Calibri" w:eastAsia="Calibri" w:hAnsi="Calibri" w:cs="Calibri"/>
          <w:b/>
          <w:bCs/>
          <w:sz w:val="24"/>
          <w:szCs w:val="24"/>
        </w:rPr>
        <w:t>Problem Solving (SLO 2):</w:t>
      </w:r>
      <w:r w:rsidRPr="00C62F64">
        <w:rPr>
          <w:rFonts w:ascii="Calibri" w:eastAsia="Calibri" w:hAnsi="Calibri" w:cs="Calibri"/>
          <w:sz w:val="24"/>
          <w:szCs w:val="24"/>
        </w:rPr>
        <w:t xml:space="preserve"> A small sample (11 scores) showed a 73% mastery rate, though low numbers limit generalizability.</w:t>
      </w:r>
    </w:p>
    <w:p w14:paraId="4FED3FFB" w14:textId="71A54399" w:rsidR="006D0310" w:rsidRPr="00C62F64" w:rsidRDefault="1609D532" w:rsidP="4AA52596">
      <w:pPr>
        <w:pStyle w:val="ListParagraph"/>
        <w:numPr>
          <w:ilvl w:val="0"/>
          <w:numId w:val="4"/>
        </w:numPr>
        <w:rPr>
          <w:rFonts w:ascii="Calibri" w:eastAsia="Calibri" w:hAnsi="Calibri" w:cs="Calibri"/>
          <w:sz w:val="24"/>
          <w:szCs w:val="24"/>
        </w:rPr>
      </w:pPr>
      <w:r w:rsidRPr="00C62F64">
        <w:rPr>
          <w:rFonts w:ascii="Calibri" w:eastAsia="Calibri" w:hAnsi="Calibri" w:cs="Calibri"/>
          <w:b/>
          <w:bCs/>
          <w:sz w:val="24"/>
          <w:szCs w:val="24"/>
        </w:rPr>
        <w:t>Communication (SLO 3):</w:t>
      </w:r>
      <w:r w:rsidRPr="00C62F64">
        <w:rPr>
          <w:rFonts w:ascii="Calibri" w:eastAsia="Calibri" w:hAnsi="Calibri" w:cs="Calibri"/>
          <w:sz w:val="24"/>
          <w:szCs w:val="24"/>
        </w:rPr>
        <w:t xml:space="preserve"> Across 974 scores, 37% were mastery; 57% were progressing, and only 6% scored at low/no skills. This reflects relatively strong performance.</w:t>
      </w:r>
    </w:p>
    <w:p w14:paraId="5731551C" w14:textId="5D9F2E4F" w:rsidR="006D0310" w:rsidRPr="00C62F64" w:rsidRDefault="1609D532" w:rsidP="4AA52596">
      <w:pPr>
        <w:pStyle w:val="ListParagraph"/>
        <w:numPr>
          <w:ilvl w:val="0"/>
          <w:numId w:val="4"/>
        </w:numPr>
        <w:rPr>
          <w:rFonts w:ascii="Calibri" w:eastAsia="Calibri" w:hAnsi="Calibri" w:cs="Calibri"/>
          <w:sz w:val="24"/>
          <w:szCs w:val="24"/>
        </w:rPr>
      </w:pPr>
      <w:r w:rsidRPr="00C62F64">
        <w:rPr>
          <w:rFonts w:ascii="Calibri" w:eastAsia="Calibri" w:hAnsi="Calibri" w:cs="Calibri"/>
          <w:b/>
          <w:bCs/>
          <w:sz w:val="24"/>
          <w:szCs w:val="24"/>
        </w:rPr>
        <w:t>Quantitative/Information Processing (SLO 5):</w:t>
      </w:r>
      <w:r w:rsidRPr="00C62F64">
        <w:rPr>
          <w:rFonts w:ascii="Calibri" w:eastAsia="Calibri" w:hAnsi="Calibri" w:cs="Calibri"/>
          <w:sz w:val="24"/>
          <w:szCs w:val="24"/>
        </w:rPr>
        <w:t xml:space="preserve"> Out of the 1611 scores reported, 72% were mastery, 19% were progressing, and 9% were low to no skill.</w:t>
      </w:r>
    </w:p>
    <w:p w14:paraId="2AC652DC" w14:textId="58AF51A4" w:rsidR="006D0310" w:rsidRPr="00C62F64" w:rsidRDefault="1609D532" w:rsidP="4AA52596">
      <w:pPr>
        <w:pStyle w:val="ListParagraph"/>
        <w:numPr>
          <w:ilvl w:val="0"/>
          <w:numId w:val="4"/>
        </w:numPr>
        <w:rPr>
          <w:rFonts w:ascii="Calibri" w:eastAsia="Calibri" w:hAnsi="Calibri" w:cs="Calibri"/>
          <w:sz w:val="24"/>
          <w:szCs w:val="24"/>
        </w:rPr>
      </w:pPr>
      <w:r w:rsidRPr="00C62F64">
        <w:rPr>
          <w:rFonts w:ascii="Calibri" w:eastAsia="Calibri" w:hAnsi="Calibri" w:cs="Calibri"/>
          <w:b/>
          <w:bCs/>
          <w:sz w:val="24"/>
          <w:szCs w:val="24"/>
        </w:rPr>
        <w:t>Analysis &amp; Synthesis (SLO 6):</w:t>
      </w:r>
      <w:r w:rsidRPr="00C62F64">
        <w:rPr>
          <w:rFonts w:ascii="Calibri" w:eastAsia="Calibri" w:hAnsi="Calibri" w:cs="Calibri"/>
          <w:sz w:val="24"/>
          <w:szCs w:val="24"/>
        </w:rPr>
        <w:t xml:space="preserve"> About half of the </w:t>
      </w:r>
      <w:r w:rsidR="000F6BED">
        <w:rPr>
          <w:rFonts w:ascii="Calibri" w:eastAsia="Calibri" w:hAnsi="Calibri" w:cs="Calibri"/>
          <w:sz w:val="24"/>
          <w:szCs w:val="24"/>
        </w:rPr>
        <w:t>scores</w:t>
      </w:r>
      <w:r w:rsidRPr="00C62F64">
        <w:rPr>
          <w:rFonts w:ascii="Calibri" w:eastAsia="Calibri" w:hAnsi="Calibri" w:cs="Calibri"/>
          <w:sz w:val="24"/>
          <w:szCs w:val="24"/>
        </w:rPr>
        <w:t xml:space="preserve"> </w:t>
      </w:r>
      <w:r w:rsidR="002D48EC">
        <w:rPr>
          <w:rFonts w:ascii="Calibri" w:eastAsia="Calibri" w:hAnsi="Calibri" w:cs="Calibri"/>
          <w:sz w:val="24"/>
          <w:szCs w:val="24"/>
        </w:rPr>
        <w:t xml:space="preserve">were </w:t>
      </w:r>
      <w:r w:rsidRPr="00C62F64">
        <w:rPr>
          <w:rFonts w:ascii="Calibri" w:eastAsia="Calibri" w:hAnsi="Calibri" w:cs="Calibri"/>
          <w:sz w:val="24"/>
          <w:szCs w:val="24"/>
        </w:rPr>
        <w:t xml:space="preserve">mastery (50%), while </w:t>
      </w:r>
      <w:r w:rsidR="000F6BED">
        <w:rPr>
          <w:rFonts w:ascii="Calibri" w:eastAsia="Calibri" w:hAnsi="Calibri" w:cs="Calibri"/>
          <w:sz w:val="24"/>
          <w:szCs w:val="24"/>
        </w:rPr>
        <w:t>29% w</w:t>
      </w:r>
      <w:r w:rsidR="002D48EC">
        <w:rPr>
          <w:rFonts w:ascii="Calibri" w:eastAsia="Calibri" w:hAnsi="Calibri" w:cs="Calibri"/>
          <w:sz w:val="24"/>
          <w:szCs w:val="24"/>
        </w:rPr>
        <w:t xml:space="preserve">ere progressing, and </w:t>
      </w:r>
      <w:r w:rsidRPr="00C62F64">
        <w:rPr>
          <w:rFonts w:ascii="Calibri" w:eastAsia="Calibri" w:hAnsi="Calibri" w:cs="Calibri"/>
          <w:sz w:val="24"/>
          <w:szCs w:val="24"/>
        </w:rPr>
        <w:t>21% showed low/no skills.</w:t>
      </w:r>
    </w:p>
    <w:p w14:paraId="1D765E7A" w14:textId="0CFE46A8" w:rsidR="006D0310" w:rsidRPr="00C62F64" w:rsidRDefault="1609D532" w:rsidP="4AA52596">
      <w:pPr>
        <w:rPr>
          <w:rFonts w:ascii="Calibri" w:eastAsia="Calibri" w:hAnsi="Calibri" w:cs="Calibri"/>
          <w:sz w:val="24"/>
          <w:szCs w:val="24"/>
        </w:rPr>
      </w:pPr>
      <w:r w:rsidRPr="00C62F64">
        <w:rPr>
          <w:rFonts w:ascii="Calibri" w:eastAsia="Calibri" w:hAnsi="Calibri" w:cs="Calibri"/>
          <w:b/>
          <w:bCs/>
          <w:sz w:val="24"/>
          <w:szCs w:val="24"/>
        </w:rPr>
        <w:t>Key takeaway:</w:t>
      </w:r>
      <w:r w:rsidRPr="00C62F64">
        <w:rPr>
          <w:rFonts w:ascii="Calibri" w:eastAsia="Calibri" w:hAnsi="Calibri" w:cs="Calibri"/>
          <w:sz w:val="24"/>
          <w:szCs w:val="24"/>
        </w:rPr>
        <w:t xml:space="preserve"> Analysis and Synthesis, Communication, and Quantitative Information Processing </w:t>
      </w:r>
      <w:r w:rsidR="3140CA5E" w:rsidRPr="00C62F64">
        <w:rPr>
          <w:rFonts w:ascii="Calibri" w:eastAsia="Calibri" w:hAnsi="Calibri" w:cs="Calibri"/>
          <w:sz w:val="24"/>
          <w:szCs w:val="24"/>
        </w:rPr>
        <w:t xml:space="preserve">convey </w:t>
      </w:r>
      <w:r w:rsidRPr="00C62F64">
        <w:rPr>
          <w:rFonts w:ascii="Calibri" w:eastAsia="Calibri" w:hAnsi="Calibri" w:cs="Calibri"/>
          <w:sz w:val="24"/>
          <w:szCs w:val="24"/>
        </w:rPr>
        <w:t>strong development, while Information Literacy exhibits a balanced performance profile with notable progression. Human experience, with no reported scores, is an area of concern.</w:t>
      </w:r>
    </w:p>
    <w:p w14:paraId="45EF27BC" w14:textId="186DB2E9" w:rsidR="006D0310" w:rsidRPr="00C62F64" w:rsidRDefault="1609D532" w:rsidP="4AA52596">
      <w:pPr>
        <w:rPr>
          <w:rFonts w:ascii="Calibri" w:eastAsia="Calibri" w:hAnsi="Calibri" w:cs="Calibri"/>
          <w:sz w:val="24"/>
          <w:szCs w:val="24"/>
        </w:rPr>
      </w:pPr>
      <w:r w:rsidRPr="00C62F64">
        <w:rPr>
          <w:rFonts w:ascii="Calibri" w:eastAsia="Calibri" w:hAnsi="Calibri" w:cs="Calibri"/>
          <w:b/>
          <w:bCs/>
          <w:sz w:val="24"/>
          <w:szCs w:val="24"/>
        </w:rPr>
        <w:t>Institutional Learning Outcomes (ILOs)</w:t>
      </w:r>
    </w:p>
    <w:p w14:paraId="20B01B53" w14:textId="572FBB60" w:rsidR="006D0310" w:rsidRPr="00C62F64" w:rsidRDefault="1609D532" w:rsidP="4AA52596">
      <w:pPr>
        <w:pStyle w:val="ListParagraph"/>
        <w:numPr>
          <w:ilvl w:val="0"/>
          <w:numId w:val="3"/>
        </w:numPr>
        <w:rPr>
          <w:rFonts w:ascii="Calibri" w:eastAsia="Calibri" w:hAnsi="Calibri" w:cs="Calibri"/>
          <w:sz w:val="24"/>
          <w:szCs w:val="24"/>
        </w:rPr>
      </w:pPr>
      <w:r w:rsidRPr="00C62F64">
        <w:rPr>
          <w:rFonts w:ascii="Calibri" w:eastAsia="Calibri" w:hAnsi="Calibri" w:cs="Calibri"/>
          <w:b/>
          <w:bCs/>
          <w:sz w:val="24"/>
          <w:szCs w:val="24"/>
        </w:rPr>
        <w:t>Quantitative Literacy (ILO 1):</w:t>
      </w:r>
      <w:r w:rsidRPr="00C62F64">
        <w:rPr>
          <w:rFonts w:ascii="Calibri" w:eastAsia="Calibri" w:hAnsi="Calibri" w:cs="Calibri"/>
          <w:sz w:val="24"/>
          <w:szCs w:val="24"/>
        </w:rPr>
        <w:t xml:space="preserve"> </w:t>
      </w:r>
      <w:r w:rsidR="541C8C01" w:rsidRPr="00C62F64">
        <w:rPr>
          <w:rFonts w:ascii="Calibri" w:eastAsia="Calibri" w:hAnsi="Calibri" w:cs="Calibri"/>
          <w:sz w:val="24"/>
          <w:szCs w:val="24"/>
        </w:rPr>
        <w:t>Most</w:t>
      </w:r>
      <w:r w:rsidRPr="00C62F64">
        <w:rPr>
          <w:rFonts w:ascii="Calibri" w:eastAsia="Calibri" w:hAnsi="Calibri" w:cs="Calibri"/>
          <w:sz w:val="24"/>
          <w:szCs w:val="24"/>
        </w:rPr>
        <w:t xml:space="preserve"> scores (58%) were mastery, the 25% at low/no skill is the highest among the ILOs. This suggests uneven quantitative preparation and the possibility of structural barriers in math-intensive courses.</w:t>
      </w:r>
    </w:p>
    <w:p w14:paraId="7AB9BE05" w14:textId="5C2F7BBE" w:rsidR="006D0310" w:rsidRPr="00C62F64" w:rsidRDefault="1609D532" w:rsidP="4AA52596">
      <w:pPr>
        <w:pStyle w:val="ListParagraph"/>
        <w:numPr>
          <w:ilvl w:val="0"/>
          <w:numId w:val="3"/>
        </w:numPr>
        <w:rPr>
          <w:rFonts w:ascii="Calibri" w:eastAsia="Calibri" w:hAnsi="Calibri" w:cs="Calibri"/>
          <w:sz w:val="24"/>
          <w:szCs w:val="24"/>
        </w:rPr>
      </w:pPr>
      <w:r w:rsidRPr="00C62F64">
        <w:rPr>
          <w:rFonts w:ascii="Calibri" w:eastAsia="Calibri" w:hAnsi="Calibri" w:cs="Calibri"/>
          <w:b/>
          <w:bCs/>
          <w:sz w:val="24"/>
          <w:szCs w:val="24"/>
        </w:rPr>
        <w:t>Critical Thinking (ILO 2):</w:t>
      </w:r>
      <w:r w:rsidRPr="00C62F64">
        <w:rPr>
          <w:rFonts w:ascii="Calibri" w:eastAsia="Calibri" w:hAnsi="Calibri" w:cs="Calibri"/>
          <w:sz w:val="24"/>
          <w:szCs w:val="24"/>
        </w:rPr>
        <w:t xml:space="preserve"> Roughly 55% of scores were mastery, with fewer than 15% at low/no skill, and 30% scored progressing. This represents a relatively strong performance profile.</w:t>
      </w:r>
    </w:p>
    <w:p w14:paraId="1101B2A0" w14:textId="44B59754" w:rsidR="006D0310" w:rsidRPr="00C62F64" w:rsidRDefault="1609D532" w:rsidP="4AA52596">
      <w:pPr>
        <w:pStyle w:val="ListParagraph"/>
        <w:numPr>
          <w:ilvl w:val="0"/>
          <w:numId w:val="3"/>
        </w:numPr>
        <w:rPr>
          <w:rFonts w:ascii="Calibri" w:eastAsia="Calibri" w:hAnsi="Calibri" w:cs="Calibri"/>
          <w:sz w:val="24"/>
          <w:szCs w:val="24"/>
        </w:rPr>
      </w:pPr>
      <w:r w:rsidRPr="00C62F64">
        <w:rPr>
          <w:rFonts w:ascii="Calibri" w:eastAsia="Calibri" w:hAnsi="Calibri" w:cs="Calibri"/>
          <w:b/>
          <w:bCs/>
          <w:sz w:val="24"/>
          <w:szCs w:val="24"/>
        </w:rPr>
        <w:lastRenderedPageBreak/>
        <w:t>Communication (ILO 3):</w:t>
      </w:r>
      <w:r w:rsidRPr="00C62F64">
        <w:rPr>
          <w:rFonts w:ascii="Calibri" w:eastAsia="Calibri" w:hAnsi="Calibri" w:cs="Calibri"/>
          <w:sz w:val="24"/>
          <w:szCs w:val="24"/>
        </w:rPr>
        <w:t xml:space="preserve"> Nearly 90% scored mastery, making this a clear institutional highlight. It might be useful to source what is happening in these courses as good practice. </w:t>
      </w:r>
    </w:p>
    <w:p w14:paraId="0C84DDC2" w14:textId="0F5496FC" w:rsidR="006D0310" w:rsidRPr="00C62F64" w:rsidRDefault="1609D532" w:rsidP="4AA52596">
      <w:pPr>
        <w:pStyle w:val="ListParagraph"/>
        <w:numPr>
          <w:ilvl w:val="0"/>
          <w:numId w:val="3"/>
        </w:numPr>
        <w:rPr>
          <w:rFonts w:ascii="Calibri" w:eastAsia="Calibri" w:hAnsi="Calibri" w:cs="Calibri"/>
          <w:sz w:val="24"/>
          <w:szCs w:val="24"/>
        </w:rPr>
      </w:pPr>
      <w:r w:rsidRPr="00C62F64">
        <w:rPr>
          <w:rFonts w:ascii="Calibri" w:eastAsia="Calibri" w:hAnsi="Calibri" w:cs="Calibri"/>
          <w:b/>
          <w:bCs/>
          <w:sz w:val="24"/>
          <w:szCs w:val="24"/>
        </w:rPr>
        <w:t>Social Responsibility (ILO 4):</w:t>
      </w:r>
      <w:r w:rsidRPr="00C62F64">
        <w:rPr>
          <w:rFonts w:ascii="Calibri" w:eastAsia="Calibri" w:hAnsi="Calibri" w:cs="Calibri"/>
          <w:sz w:val="24"/>
          <w:szCs w:val="24"/>
        </w:rPr>
        <w:t xml:space="preserve"> Just over half of scores (55%) demonstrated mastery; about 3% scored low/no. This could be a productive place for deeper integration and partnership between curricular and cocurricular activities and experiences.</w:t>
      </w:r>
    </w:p>
    <w:p w14:paraId="39490B56" w14:textId="246503BA" w:rsidR="006D0310" w:rsidRPr="00C62F64" w:rsidRDefault="1609D532" w:rsidP="4AA52596">
      <w:pPr>
        <w:pStyle w:val="ListParagraph"/>
        <w:numPr>
          <w:ilvl w:val="0"/>
          <w:numId w:val="3"/>
        </w:numPr>
        <w:rPr>
          <w:rFonts w:ascii="Calibri" w:eastAsia="Calibri" w:hAnsi="Calibri" w:cs="Calibri"/>
          <w:sz w:val="24"/>
          <w:szCs w:val="24"/>
        </w:rPr>
      </w:pPr>
      <w:r w:rsidRPr="00C62F64">
        <w:rPr>
          <w:rFonts w:ascii="Calibri" w:eastAsia="Calibri" w:hAnsi="Calibri" w:cs="Calibri"/>
          <w:b/>
          <w:bCs/>
          <w:sz w:val="24"/>
          <w:szCs w:val="24"/>
        </w:rPr>
        <w:t>Personal Responsibility (ILO 5):</w:t>
      </w:r>
      <w:r w:rsidRPr="00C62F64">
        <w:rPr>
          <w:rFonts w:ascii="Calibri" w:eastAsia="Calibri" w:hAnsi="Calibri" w:cs="Calibri"/>
          <w:sz w:val="24"/>
          <w:szCs w:val="24"/>
        </w:rPr>
        <w:t xml:space="preserve"> Nearly all scores (96%) were mastery. May suggest ceiling effects in measurement. </w:t>
      </w:r>
      <w:r w:rsidR="47404F8B" w:rsidRPr="00C62F64">
        <w:rPr>
          <w:rFonts w:ascii="Calibri" w:eastAsia="Calibri" w:hAnsi="Calibri" w:cs="Calibri"/>
          <w:sz w:val="24"/>
          <w:szCs w:val="24"/>
        </w:rPr>
        <w:t>Otherwise, strong performance.</w:t>
      </w:r>
    </w:p>
    <w:p w14:paraId="61EF5520" w14:textId="22617ACC" w:rsidR="006D0310" w:rsidRPr="00C62F64" w:rsidRDefault="1609D532" w:rsidP="4AA52596">
      <w:pPr>
        <w:rPr>
          <w:rFonts w:ascii="Calibri" w:eastAsia="Calibri" w:hAnsi="Calibri" w:cs="Calibri"/>
          <w:sz w:val="24"/>
          <w:szCs w:val="24"/>
        </w:rPr>
      </w:pPr>
      <w:r w:rsidRPr="00C62F64">
        <w:rPr>
          <w:rFonts w:ascii="Calibri" w:eastAsia="Calibri" w:hAnsi="Calibri" w:cs="Calibri"/>
          <w:b/>
          <w:bCs/>
          <w:sz w:val="24"/>
          <w:szCs w:val="24"/>
        </w:rPr>
        <w:t>Key takeaway:</w:t>
      </w:r>
      <w:r w:rsidRPr="00C62F64">
        <w:rPr>
          <w:rFonts w:ascii="Calibri" w:eastAsia="Calibri" w:hAnsi="Calibri" w:cs="Calibri"/>
          <w:sz w:val="24"/>
          <w:szCs w:val="24"/>
        </w:rPr>
        <w:t xml:space="preserve"> Institutional outcomes </w:t>
      </w:r>
      <w:r w:rsidR="00D41938" w:rsidRPr="00C62F64">
        <w:rPr>
          <w:rFonts w:ascii="Calibri" w:eastAsia="Calibri" w:hAnsi="Calibri" w:cs="Calibri"/>
          <w:sz w:val="24"/>
          <w:szCs w:val="24"/>
        </w:rPr>
        <w:t>demonstrate</w:t>
      </w:r>
      <w:r w:rsidRPr="00C62F64">
        <w:rPr>
          <w:rFonts w:ascii="Calibri" w:eastAsia="Calibri" w:hAnsi="Calibri" w:cs="Calibri"/>
          <w:sz w:val="24"/>
          <w:szCs w:val="24"/>
        </w:rPr>
        <w:t xml:space="preserve"> higher rates of mastery overall, </w:t>
      </w:r>
      <w:r w:rsidR="00D41938" w:rsidRPr="00C62F64">
        <w:rPr>
          <w:rFonts w:ascii="Calibri" w:eastAsia="Calibri" w:hAnsi="Calibri" w:cs="Calibri"/>
          <w:sz w:val="24"/>
          <w:szCs w:val="24"/>
        </w:rPr>
        <w:t>particular</w:t>
      </w:r>
      <w:r w:rsidRPr="00C62F64">
        <w:rPr>
          <w:rFonts w:ascii="Calibri" w:eastAsia="Calibri" w:hAnsi="Calibri" w:cs="Calibri"/>
          <w:sz w:val="24"/>
          <w:szCs w:val="24"/>
        </w:rPr>
        <w:t xml:space="preserve">ly in communication and </w:t>
      </w:r>
      <w:r w:rsidR="00016BE9" w:rsidRPr="00C62F64">
        <w:rPr>
          <w:rFonts w:ascii="Calibri" w:eastAsia="Calibri" w:hAnsi="Calibri" w:cs="Calibri"/>
          <w:sz w:val="24"/>
          <w:szCs w:val="24"/>
        </w:rPr>
        <w:t xml:space="preserve">personal </w:t>
      </w:r>
      <w:r w:rsidRPr="00C62F64">
        <w:rPr>
          <w:rFonts w:ascii="Calibri" w:eastAsia="Calibri" w:hAnsi="Calibri" w:cs="Calibri"/>
          <w:sz w:val="24"/>
          <w:szCs w:val="24"/>
        </w:rPr>
        <w:t xml:space="preserve">responsibility, </w:t>
      </w:r>
      <w:r w:rsidR="00D41938" w:rsidRPr="00C62F64">
        <w:rPr>
          <w:rFonts w:ascii="Calibri" w:eastAsia="Calibri" w:hAnsi="Calibri" w:cs="Calibri"/>
          <w:sz w:val="24"/>
          <w:szCs w:val="24"/>
        </w:rPr>
        <w:t>al</w:t>
      </w:r>
      <w:r w:rsidRPr="00C62F64">
        <w:rPr>
          <w:rFonts w:ascii="Calibri" w:eastAsia="Calibri" w:hAnsi="Calibri" w:cs="Calibri"/>
          <w:sz w:val="24"/>
          <w:szCs w:val="24"/>
        </w:rPr>
        <w:t xml:space="preserve">though quantitative </w:t>
      </w:r>
      <w:r w:rsidR="007A0C89" w:rsidRPr="00C62F64">
        <w:rPr>
          <w:rFonts w:ascii="Calibri" w:eastAsia="Calibri" w:hAnsi="Calibri" w:cs="Calibri"/>
          <w:sz w:val="24"/>
          <w:szCs w:val="24"/>
        </w:rPr>
        <w:t>literacy</w:t>
      </w:r>
      <w:r w:rsidRPr="00C62F64">
        <w:rPr>
          <w:rFonts w:ascii="Calibri" w:eastAsia="Calibri" w:hAnsi="Calibri" w:cs="Calibri"/>
          <w:sz w:val="24"/>
          <w:szCs w:val="24"/>
        </w:rPr>
        <w:t xml:space="preserve"> remains an area for improvement.</w:t>
      </w:r>
    </w:p>
    <w:p w14:paraId="2766A88D" w14:textId="3EE1D16B" w:rsidR="006D0310" w:rsidRPr="00C62F64" w:rsidRDefault="1609D532" w:rsidP="4AA52596">
      <w:pPr>
        <w:rPr>
          <w:rFonts w:ascii="Calibri" w:eastAsia="Calibri" w:hAnsi="Calibri" w:cs="Calibri"/>
          <w:sz w:val="24"/>
          <w:szCs w:val="24"/>
        </w:rPr>
      </w:pPr>
      <w:r w:rsidRPr="00C62F64">
        <w:rPr>
          <w:rFonts w:ascii="Calibri" w:eastAsia="Calibri" w:hAnsi="Calibri" w:cs="Calibri"/>
          <w:b/>
          <w:bCs/>
          <w:sz w:val="24"/>
          <w:szCs w:val="24"/>
        </w:rPr>
        <w:t>Year-over-year perspective</w:t>
      </w:r>
    </w:p>
    <w:p w14:paraId="071970D2" w14:textId="4DD86471" w:rsidR="006D0310" w:rsidRPr="00C62F64" w:rsidRDefault="1609D532" w:rsidP="4AA52596">
      <w:pPr>
        <w:pStyle w:val="ListParagraph"/>
        <w:numPr>
          <w:ilvl w:val="0"/>
          <w:numId w:val="2"/>
        </w:numPr>
        <w:rPr>
          <w:rFonts w:ascii="Calibri" w:eastAsia="Calibri" w:hAnsi="Calibri" w:cs="Calibri"/>
          <w:sz w:val="24"/>
          <w:szCs w:val="24"/>
        </w:rPr>
      </w:pPr>
      <w:r w:rsidRPr="00C62F64">
        <w:rPr>
          <w:rFonts w:ascii="Calibri" w:eastAsia="Calibri" w:hAnsi="Calibri" w:cs="Calibri"/>
          <w:b/>
          <w:bCs/>
          <w:sz w:val="24"/>
          <w:szCs w:val="24"/>
        </w:rPr>
        <w:t>Participation stability:</w:t>
      </w:r>
      <w:r w:rsidRPr="00C62F64">
        <w:rPr>
          <w:rFonts w:ascii="Calibri" w:eastAsia="Calibri" w:hAnsi="Calibri" w:cs="Calibri"/>
          <w:sz w:val="24"/>
          <w:szCs w:val="24"/>
        </w:rPr>
        <w:t xml:space="preserve"> The assessment volume increased, with 54% of programs submitting data.</w:t>
      </w:r>
    </w:p>
    <w:p w14:paraId="7DA7A92A" w14:textId="4A8983B7" w:rsidR="006D0310" w:rsidRPr="00C62F64" w:rsidRDefault="1609D532" w:rsidP="4AA52596">
      <w:pPr>
        <w:rPr>
          <w:rFonts w:ascii="Calibri" w:eastAsia="Calibri" w:hAnsi="Calibri" w:cs="Calibri"/>
          <w:sz w:val="24"/>
          <w:szCs w:val="24"/>
        </w:rPr>
      </w:pPr>
      <w:r w:rsidRPr="00C62F64">
        <w:rPr>
          <w:rFonts w:ascii="Calibri" w:eastAsia="Calibri" w:hAnsi="Calibri" w:cs="Calibri"/>
          <w:b/>
          <w:bCs/>
          <w:sz w:val="24"/>
          <w:szCs w:val="24"/>
        </w:rPr>
        <w:t>Institutional implications</w:t>
      </w:r>
    </w:p>
    <w:p w14:paraId="34CAC55A" w14:textId="6693E7D4" w:rsidR="006D0310" w:rsidRPr="00C62F64" w:rsidRDefault="1609D532" w:rsidP="4AA52596">
      <w:pPr>
        <w:pStyle w:val="ListParagraph"/>
        <w:numPr>
          <w:ilvl w:val="0"/>
          <w:numId w:val="1"/>
        </w:numPr>
        <w:rPr>
          <w:rFonts w:ascii="Calibri" w:eastAsia="Calibri" w:hAnsi="Calibri" w:cs="Calibri"/>
          <w:sz w:val="24"/>
          <w:szCs w:val="24"/>
        </w:rPr>
      </w:pPr>
      <w:r w:rsidRPr="00C62F64">
        <w:rPr>
          <w:rFonts w:ascii="Calibri" w:eastAsia="Calibri" w:hAnsi="Calibri" w:cs="Calibri"/>
          <w:b/>
          <w:bCs/>
          <w:sz w:val="24"/>
          <w:szCs w:val="24"/>
        </w:rPr>
        <w:t>Model strong practices:</w:t>
      </w:r>
      <w:r w:rsidRPr="00C62F64">
        <w:rPr>
          <w:rFonts w:ascii="Calibri" w:eastAsia="Calibri" w:hAnsi="Calibri" w:cs="Calibri"/>
          <w:sz w:val="24"/>
          <w:szCs w:val="24"/>
        </w:rPr>
        <w:t xml:space="preserve"> Faculty who submit detailed, diagnostic loop-closing reports provide internal exemplars.</w:t>
      </w:r>
    </w:p>
    <w:p w14:paraId="4252AA75" w14:textId="79990F95" w:rsidR="006D0310" w:rsidRPr="00454388" w:rsidRDefault="1609D532" w:rsidP="4AA52596">
      <w:pPr>
        <w:pStyle w:val="ListParagraph"/>
        <w:numPr>
          <w:ilvl w:val="0"/>
          <w:numId w:val="1"/>
        </w:numPr>
        <w:rPr>
          <w:rFonts w:ascii="Calibri" w:eastAsia="Calibri" w:hAnsi="Calibri" w:cs="Calibri"/>
        </w:rPr>
      </w:pPr>
      <w:r w:rsidRPr="00C62F64">
        <w:rPr>
          <w:rFonts w:ascii="Calibri" w:eastAsia="Calibri" w:hAnsi="Calibri" w:cs="Calibri"/>
          <w:b/>
          <w:bCs/>
          <w:sz w:val="24"/>
          <w:szCs w:val="24"/>
        </w:rPr>
        <w:t>Data-driven decisions:</w:t>
      </w:r>
      <w:r w:rsidRPr="00C62F64">
        <w:rPr>
          <w:rFonts w:ascii="Calibri" w:eastAsia="Calibri" w:hAnsi="Calibri" w:cs="Calibri"/>
          <w:sz w:val="24"/>
          <w:szCs w:val="24"/>
        </w:rPr>
        <w:t xml:space="preserve"> Assessment findings should be consistently linked to resource requests, curricular changes, and </w:t>
      </w:r>
      <w:r w:rsidR="0BC61ADF" w:rsidRPr="00C62F64">
        <w:rPr>
          <w:rFonts w:ascii="Calibri" w:eastAsia="Calibri" w:hAnsi="Calibri" w:cs="Calibri"/>
          <w:sz w:val="24"/>
          <w:szCs w:val="24"/>
        </w:rPr>
        <w:t>loop closing processes</w:t>
      </w:r>
      <w:r w:rsidRPr="00C62F64">
        <w:rPr>
          <w:rFonts w:ascii="Calibri" w:eastAsia="Calibri" w:hAnsi="Calibri" w:cs="Calibri"/>
          <w:sz w:val="24"/>
          <w:szCs w:val="24"/>
        </w:rPr>
        <w:t>.</w:t>
      </w:r>
      <w:r w:rsidR="009D7B9F" w:rsidRPr="009D7B9F">
        <w:br w:type="page"/>
      </w:r>
    </w:p>
    <w:p w14:paraId="1B0CDE29" w14:textId="5F8C49AA" w:rsidR="006D0310" w:rsidRDefault="21C6EEBB" w:rsidP="0012353B">
      <w:pPr>
        <w:pStyle w:val="Heading1"/>
      </w:pPr>
      <w:bookmarkStart w:id="3" w:name="_Toc420486867"/>
      <w:r>
        <w:lastRenderedPageBreak/>
        <w:t>General Education Reporting – Student Learning Outcomes</w:t>
      </w:r>
      <w:r w:rsidR="0EB468EF">
        <w:t xml:space="preserve"> (SLOs)</w:t>
      </w:r>
      <w:bookmarkEnd w:id="3"/>
    </w:p>
    <w:p w14:paraId="19583EF5" w14:textId="77777777" w:rsidR="0012353B" w:rsidRPr="0012353B" w:rsidRDefault="0012353B" w:rsidP="00ED67CF"/>
    <w:p w14:paraId="2346F82B" w14:textId="70446FF3" w:rsidR="00683662" w:rsidRPr="009E4732" w:rsidRDefault="000111EC" w:rsidP="22978F21">
      <w:pPr>
        <w:spacing w:line="360" w:lineRule="auto"/>
      </w:pPr>
      <w:r w:rsidRPr="22978F21">
        <w:t xml:space="preserve">The following data </w:t>
      </w:r>
      <w:r w:rsidR="39247B4B" w:rsidRPr="22978F21">
        <w:t>are</w:t>
      </w:r>
      <w:r w:rsidRPr="22978F21">
        <w:t xml:space="preserve"> relevant to student performance on </w:t>
      </w:r>
      <w:r w:rsidR="001C4D51" w:rsidRPr="22978F21">
        <w:t xml:space="preserve">the </w:t>
      </w:r>
      <w:r w:rsidR="00345CFB" w:rsidRPr="22978F21">
        <w:t xml:space="preserve">six </w:t>
      </w:r>
      <w:r w:rsidR="001C4D51" w:rsidRPr="22978F21">
        <w:t>outcomes</w:t>
      </w:r>
      <w:r w:rsidR="00345CFB" w:rsidRPr="22978F21">
        <w:t xml:space="preserve"> below</w:t>
      </w:r>
      <w:r w:rsidR="00223E2E" w:rsidRPr="22978F21">
        <w:t xml:space="preserve">. These outcomes are </w:t>
      </w:r>
      <w:r w:rsidR="00725980" w:rsidRPr="22978F21">
        <w:t>aligned</w:t>
      </w:r>
      <w:r w:rsidR="00223E2E" w:rsidRPr="22978F21">
        <w:t xml:space="preserve"> with general education courses</w:t>
      </w:r>
      <w:r w:rsidR="00354140" w:rsidRPr="22978F21">
        <w:t>.</w:t>
      </w:r>
      <w:r w:rsidR="000F7479" w:rsidRPr="22978F21">
        <w:t xml:space="preserve"> </w:t>
      </w:r>
      <w:r w:rsidR="00354140" w:rsidRPr="22978F21">
        <w:t>F</w:t>
      </w:r>
      <w:r w:rsidR="000F7479" w:rsidRPr="22978F21">
        <w:t>aculty use an eclectic set of teaching practices to develop talent and assessment</w:t>
      </w:r>
      <w:r w:rsidR="00354140" w:rsidRPr="22978F21">
        <w:t>s</w:t>
      </w:r>
      <w:r w:rsidR="000F7479" w:rsidRPr="22978F21">
        <w:t xml:space="preserve"> to measure performance. </w:t>
      </w:r>
    </w:p>
    <w:p w14:paraId="3ACE1DA8" w14:textId="40AB3457" w:rsidR="00431846" w:rsidRPr="009E4732" w:rsidRDefault="00472538" w:rsidP="0038235F">
      <w:pPr>
        <w:spacing w:line="360" w:lineRule="auto"/>
        <w:jc w:val="center"/>
        <w:rPr>
          <w:rFonts w:cstheme="minorHAnsi"/>
          <w:b/>
          <w:bCs/>
        </w:rPr>
      </w:pPr>
      <w:r w:rsidRPr="009E4732">
        <w:rPr>
          <w:rFonts w:cstheme="minorHAnsi"/>
          <w:b/>
          <w:bCs/>
        </w:rPr>
        <w:t>General Education Student Learning Outcomes</w:t>
      </w:r>
    </w:p>
    <w:p w14:paraId="1C7A8FEA" w14:textId="3E0EC446" w:rsidR="00BF5C09" w:rsidRPr="009E4732" w:rsidRDefault="00BF5C09" w:rsidP="0038235F">
      <w:pPr>
        <w:pStyle w:val="ListParagraph"/>
        <w:numPr>
          <w:ilvl w:val="0"/>
          <w:numId w:val="8"/>
        </w:numPr>
        <w:spacing w:line="360" w:lineRule="auto"/>
        <w:rPr>
          <w:rFonts w:cstheme="minorHAnsi"/>
        </w:rPr>
      </w:pPr>
      <w:r w:rsidRPr="009E4732">
        <w:rPr>
          <w:rFonts w:cstheme="minorHAnsi"/>
        </w:rPr>
        <w:t>Demonstrate information literacy by finding, interpreting, evaluating, and using sources.</w:t>
      </w:r>
    </w:p>
    <w:p w14:paraId="578C8726" w14:textId="6E862E71" w:rsidR="00BF5C09" w:rsidRPr="009E4732" w:rsidRDefault="00BF5C09" w:rsidP="0038235F">
      <w:pPr>
        <w:pStyle w:val="ListParagraph"/>
        <w:numPr>
          <w:ilvl w:val="0"/>
          <w:numId w:val="8"/>
        </w:numPr>
        <w:spacing w:line="360" w:lineRule="auto"/>
        <w:rPr>
          <w:rFonts w:cstheme="minorHAnsi"/>
        </w:rPr>
      </w:pPr>
      <w:r w:rsidRPr="009E4732">
        <w:rPr>
          <w:rFonts w:cstheme="minorHAnsi"/>
        </w:rPr>
        <w:t>Apply problem-solving strategies using appropriate disciplinary or cross-disciplinary methods.</w:t>
      </w:r>
    </w:p>
    <w:p w14:paraId="2CB08DE1" w14:textId="132A9DBC" w:rsidR="00BF5C09" w:rsidRPr="009E4732" w:rsidRDefault="00BF5C09" w:rsidP="0038235F">
      <w:pPr>
        <w:pStyle w:val="ListParagraph"/>
        <w:numPr>
          <w:ilvl w:val="0"/>
          <w:numId w:val="8"/>
        </w:numPr>
        <w:spacing w:line="360" w:lineRule="auto"/>
        <w:rPr>
          <w:rFonts w:cstheme="minorHAnsi"/>
        </w:rPr>
      </w:pPr>
      <w:r w:rsidRPr="009E4732">
        <w:rPr>
          <w:rFonts w:cstheme="minorHAnsi"/>
        </w:rPr>
        <w:t>Communicate effectively in a variety of contexts.</w:t>
      </w:r>
    </w:p>
    <w:p w14:paraId="64F1F07D" w14:textId="641229A8" w:rsidR="00BF5C09" w:rsidRPr="009E4732" w:rsidRDefault="00BF5C09" w:rsidP="0038235F">
      <w:pPr>
        <w:pStyle w:val="ListParagraph"/>
        <w:numPr>
          <w:ilvl w:val="0"/>
          <w:numId w:val="8"/>
        </w:numPr>
        <w:spacing w:line="360" w:lineRule="auto"/>
        <w:rPr>
          <w:rFonts w:cstheme="minorHAnsi"/>
        </w:rPr>
      </w:pPr>
      <w:r w:rsidRPr="009E4732">
        <w:rPr>
          <w:rFonts w:cstheme="minorHAnsi"/>
        </w:rPr>
        <w:t>Demonstrate knowledge of the broad diversity of the human experience and the individual’s connection to the global society.</w:t>
      </w:r>
    </w:p>
    <w:p w14:paraId="27D4F038" w14:textId="0D76D1C9" w:rsidR="00BF5C09" w:rsidRPr="009E4732" w:rsidRDefault="00BF5C09" w:rsidP="02A78854">
      <w:pPr>
        <w:pStyle w:val="ListParagraph"/>
        <w:numPr>
          <w:ilvl w:val="0"/>
          <w:numId w:val="8"/>
        </w:numPr>
        <w:spacing w:line="360" w:lineRule="auto"/>
      </w:pPr>
      <w:r w:rsidRPr="02A78854">
        <w:t>Process nu</w:t>
      </w:r>
      <w:r w:rsidR="005C51B0">
        <w:t>meric</w:t>
      </w:r>
      <w:r w:rsidRPr="02A78854">
        <w:t>, symbolic, and graphic information to draw informed conclusions.</w:t>
      </w:r>
    </w:p>
    <w:p w14:paraId="1F605C5E" w14:textId="15DFCEC7" w:rsidR="00B2023A" w:rsidRPr="00AA0575" w:rsidRDefault="00BF5C09" w:rsidP="00E44852">
      <w:pPr>
        <w:pStyle w:val="ListParagraph"/>
        <w:numPr>
          <w:ilvl w:val="0"/>
          <w:numId w:val="8"/>
        </w:numPr>
        <w:spacing w:line="360" w:lineRule="auto"/>
        <w:rPr>
          <w:rFonts w:cstheme="minorHAnsi"/>
        </w:rPr>
      </w:pPr>
      <w:r w:rsidRPr="009E4732">
        <w:rPr>
          <w:rFonts w:cstheme="minorHAnsi"/>
        </w:rPr>
        <w:t>Comprehend, analyze</w:t>
      </w:r>
      <w:r w:rsidR="0038235F">
        <w:rPr>
          <w:rFonts w:cstheme="minorHAnsi"/>
        </w:rPr>
        <w:t>,</w:t>
      </w:r>
      <w:r w:rsidRPr="009E4732">
        <w:rPr>
          <w:rFonts w:cstheme="minorHAnsi"/>
        </w:rPr>
        <w:t xml:space="preserve"> and synthesize written, visual, and aural material.</w:t>
      </w:r>
    </w:p>
    <w:p w14:paraId="1AAF4089" w14:textId="77777777" w:rsidR="00354140" w:rsidRDefault="00354140">
      <w:pPr>
        <w:rPr>
          <w:rFonts w:asciiTheme="majorHAnsi" w:eastAsiaTheme="majorEastAsia" w:hAnsiTheme="majorHAnsi" w:cstheme="majorBidi"/>
          <w:color w:val="2F5496" w:themeColor="accent1" w:themeShade="BF"/>
          <w:sz w:val="26"/>
          <w:szCs w:val="26"/>
        </w:rPr>
      </w:pPr>
      <w:r>
        <w:br w:type="page"/>
      </w:r>
    </w:p>
    <w:p w14:paraId="24312B14" w14:textId="782F0A3C" w:rsidR="0009683B" w:rsidRPr="00C30F79" w:rsidRDefault="4D6B609D" w:rsidP="00C30F79">
      <w:pPr>
        <w:pStyle w:val="Heading2"/>
      </w:pPr>
      <w:bookmarkStart w:id="4" w:name="_Toc1259743501"/>
      <w:r>
        <w:lastRenderedPageBreak/>
        <w:t>Summative Data Tables for General Education</w:t>
      </w:r>
      <w:bookmarkEnd w:id="4"/>
    </w:p>
    <w:p w14:paraId="640DE671" w14:textId="3FA89489" w:rsidR="73402F2A" w:rsidRDefault="000729D3" w:rsidP="4AA52596">
      <w:pPr>
        <w:pStyle w:val="Heading3"/>
        <w:ind w:left="0"/>
        <w:jc w:val="both"/>
      </w:pPr>
      <w:bookmarkStart w:id="5" w:name="_Toc1565779951"/>
      <w:r>
        <w:rPr>
          <w:noProof/>
        </w:rPr>
        <mc:AlternateContent>
          <mc:Choice Requires="wps">
            <w:drawing>
              <wp:anchor distT="0" distB="0" distL="114300" distR="114300" simplePos="0" relativeHeight="251658241" behindDoc="0" locked="0" layoutInCell="1" allowOverlap="1" wp14:anchorId="62CEF940" wp14:editId="69719DF3">
                <wp:simplePos x="0" y="0"/>
                <wp:positionH relativeFrom="column">
                  <wp:posOffset>4318782</wp:posOffset>
                </wp:positionH>
                <wp:positionV relativeFrom="paragraph">
                  <wp:posOffset>112786</wp:posOffset>
                </wp:positionV>
                <wp:extent cx="1976120" cy="2933114"/>
                <wp:effectExtent l="0" t="0" r="5080" b="635"/>
                <wp:wrapNone/>
                <wp:docPr id="617731994" name="Text Box 6"/>
                <wp:cNvGraphicFramePr/>
                <a:graphic xmlns:a="http://schemas.openxmlformats.org/drawingml/2006/main">
                  <a:graphicData uri="http://schemas.microsoft.com/office/word/2010/wordprocessingShape">
                    <wps:wsp>
                      <wps:cNvSpPr txBox="1"/>
                      <wps:spPr>
                        <a:xfrm>
                          <a:off x="0" y="0"/>
                          <a:ext cx="1976120" cy="2933114"/>
                        </a:xfrm>
                        <a:prstGeom prst="rect">
                          <a:avLst/>
                        </a:prstGeom>
                        <a:solidFill>
                          <a:schemeClr val="lt1"/>
                        </a:solidFill>
                        <a:ln w="6350">
                          <a:noFill/>
                        </a:ln>
                      </wps:spPr>
                      <wps:txbx>
                        <w:txbxContent>
                          <w:p w14:paraId="15DBF51D" w14:textId="36F3196B" w:rsidR="008A2D00" w:rsidRPr="006E2B03" w:rsidRDefault="00695845" w:rsidP="000729D3">
                            <w:pPr>
                              <w:spacing w:line="240" w:lineRule="auto"/>
                              <w:contextualSpacing/>
                              <w:textboxTightWrap w:val="allLines"/>
                              <w:rPr>
                                <w:rFonts w:ascii="Aptos" w:eastAsia="Aptos" w:hAnsi="Aptos" w:cs="Aptos"/>
                                <w:color w:val="000000" w:themeColor="text1"/>
                                <w:sz w:val="20"/>
                                <w:szCs w:val="20"/>
                              </w:rPr>
                            </w:pPr>
                            <w:r w:rsidRPr="006E2B03">
                              <w:rPr>
                                <w:rFonts w:ascii="Aptos" w:eastAsia="Aptos" w:hAnsi="Aptos" w:cs="Aptos"/>
                                <w:color w:val="000000" w:themeColor="text1"/>
                                <w:sz w:val="20"/>
                                <w:szCs w:val="20"/>
                              </w:rPr>
                              <w:t xml:space="preserve">Chart one </w:t>
                            </w:r>
                            <w:r w:rsidR="008A2D00" w:rsidRPr="006E2B03">
                              <w:rPr>
                                <w:rFonts w:ascii="Aptos" w:eastAsia="Aptos" w:hAnsi="Aptos" w:cs="Aptos"/>
                                <w:color w:val="000000" w:themeColor="text1"/>
                                <w:sz w:val="20"/>
                                <w:szCs w:val="20"/>
                              </w:rPr>
                              <w:t xml:space="preserve">indicates that student performance is strongest in Information Processing, where mastery levels </w:t>
                            </w:r>
                            <w:r w:rsidRPr="006E2B03">
                              <w:rPr>
                                <w:rFonts w:ascii="Aptos" w:eastAsia="Aptos" w:hAnsi="Aptos" w:cs="Aptos"/>
                                <w:color w:val="000000" w:themeColor="text1"/>
                                <w:sz w:val="20"/>
                                <w:szCs w:val="20"/>
                              </w:rPr>
                              <w:t>exceed those of</w:t>
                            </w:r>
                            <w:r w:rsidR="008A2D00" w:rsidRPr="006E2B03">
                              <w:rPr>
                                <w:rFonts w:ascii="Aptos" w:eastAsia="Aptos" w:hAnsi="Aptos" w:cs="Aptos"/>
                                <w:color w:val="000000" w:themeColor="text1"/>
                                <w:sz w:val="20"/>
                                <w:szCs w:val="20"/>
                              </w:rPr>
                              <w:t xml:space="preserve"> other outcomes. Communication also shows strong results. Information Literacy and Analysis/Synthesis show moderate performance, with many students still working toward mastery. Limited data for Problem Solving and Human Experience suggest potential gaps in assessment coverage or alignment.</w:t>
                            </w:r>
                          </w:p>
                          <w:p w14:paraId="4E45F2EF" w14:textId="77777777" w:rsidR="008A2D00" w:rsidRPr="008A2D00" w:rsidRDefault="008A2D00" w:rsidP="000729D3">
                            <w:pPr>
                              <w:spacing w:line="240" w:lineRule="auto"/>
                              <w:contextualSpacing/>
                              <w:textboxTightWrap w:val="allLines"/>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CEF940" id="_x0000_t202" coordsize="21600,21600" o:spt="202" path="m,l,21600r21600,l21600,xe">
                <v:stroke joinstyle="miter"/>
                <v:path gradientshapeok="t" o:connecttype="rect"/>
              </v:shapetype>
              <v:shape id="Text Box 6" o:spid="_x0000_s1026" type="#_x0000_t202" style="position:absolute;left:0;text-align:left;margin-left:340.05pt;margin-top:8.9pt;width:155.6pt;height:230.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" fillcolor="white [3201]" stroked="f" strokeweight=".5pt">
                <v:textbox>
                  <w:txbxContent>
                    <w:p w14:paraId="15DBF51D" w14:textId="36F3196B" w:rsidR="008A2D00" w:rsidRPr="006E2B03" w:rsidRDefault="00695845" w:rsidP="000729D3">
                      <w:pPr>
                        <w:spacing w:line="240" w:lineRule="auto"/>
                        <w:contextualSpacing/>
                        <w:textboxTightWrap w:val="allLines"/>
                        <w:rPr>
                          <w:rFonts w:ascii="Aptos" w:eastAsia="Aptos" w:hAnsi="Aptos" w:cs="Aptos"/>
                          <w:color w:val="000000" w:themeColor="text1"/>
                          <w:sz w:val="20"/>
                          <w:szCs w:val="20"/>
                        </w:rPr>
                      </w:pPr>
                      <w:r w:rsidRPr="006E2B03">
                        <w:rPr>
                          <w:rFonts w:ascii="Aptos" w:eastAsia="Aptos" w:hAnsi="Aptos" w:cs="Aptos"/>
                          <w:color w:val="000000" w:themeColor="text1"/>
                          <w:sz w:val="20"/>
                          <w:szCs w:val="20"/>
                        </w:rPr>
                        <w:t xml:space="preserve">Chart one </w:t>
                      </w:r>
                      <w:r w:rsidR="008A2D00" w:rsidRPr="006E2B03">
                        <w:rPr>
                          <w:rFonts w:ascii="Aptos" w:eastAsia="Aptos" w:hAnsi="Aptos" w:cs="Aptos"/>
                          <w:color w:val="000000" w:themeColor="text1"/>
                          <w:sz w:val="20"/>
                          <w:szCs w:val="20"/>
                        </w:rPr>
                        <w:t xml:space="preserve">indicates that student performance is strongest in Information Processing, where mastery levels </w:t>
                      </w:r>
                      <w:r w:rsidRPr="006E2B03">
                        <w:rPr>
                          <w:rFonts w:ascii="Aptos" w:eastAsia="Aptos" w:hAnsi="Aptos" w:cs="Aptos"/>
                          <w:color w:val="000000" w:themeColor="text1"/>
                          <w:sz w:val="20"/>
                          <w:szCs w:val="20"/>
                        </w:rPr>
                        <w:t>exceed those of</w:t>
                      </w:r>
                      <w:r w:rsidR="008A2D00" w:rsidRPr="006E2B03">
                        <w:rPr>
                          <w:rFonts w:ascii="Aptos" w:eastAsia="Aptos" w:hAnsi="Aptos" w:cs="Aptos"/>
                          <w:color w:val="000000" w:themeColor="text1"/>
                          <w:sz w:val="20"/>
                          <w:szCs w:val="20"/>
                        </w:rPr>
                        <w:t xml:space="preserve"> other outcomes. Communication also shows strong results. Information Literacy and Analysis/Synthesis show moderate performance, with many students still working toward mastery. Limited data for Problem Solving and Human Experience suggest potential gaps in assessment coverage or alignment.</w:t>
                      </w:r>
                    </w:p>
                    <w:p w14:paraId="4E45F2EF" w14:textId="77777777" w:rsidR="008A2D00" w:rsidRPr="008A2D00" w:rsidRDefault="008A2D00" w:rsidP="000729D3">
                      <w:pPr>
                        <w:spacing w:line="240" w:lineRule="auto"/>
                        <w:contextualSpacing/>
                        <w:textboxTightWrap w:val="allLines"/>
                        <w:rPr>
                          <w:sz w:val="20"/>
                          <w:szCs w:val="20"/>
                        </w:rPr>
                      </w:pPr>
                    </w:p>
                  </w:txbxContent>
                </v:textbox>
              </v:shape>
            </w:pict>
          </mc:Fallback>
        </mc:AlternateContent>
      </w:r>
      <w:r w:rsidR="73402F2A">
        <w:t xml:space="preserve">Chart 1: </w:t>
      </w:r>
      <w:r w:rsidR="2C7DC609">
        <w:t xml:space="preserve">General Education Assessment </w:t>
      </w:r>
      <w:r w:rsidR="7ECCB7FE">
        <w:t xml:space="preserve">– By Outcome </w:t>
      </w:r>
      <w:r w:rsidR="27797770">
        <w:t>AY24-25</w:t>
      </w:r>
      <w:bookmarkEnd w:id="5"/>
    </w:p>
    <w:p w14:paraId="3D8B5F41" w14:textId="01F3A4CB" w:rsidR="07C547BE" w:rsidRDefault="07C547BE" w:rsidP="4AA52596">
      <w:pPr>
        <w:rPr>
          <w:rFonts w:ascii="Aptos" w:eastAsia="Aptos" w:hAnsi="Aptos" w:cs="Aptos"/>
          <w:color w:val="000000" w:themeColor="text1"/>
        </w:rPr>
      </w:pPr>
      <w:r>
        <w:rPr>
          <w:noProof/>
        </w:rPr>
        <w:drawing>
          <wp:inline distT="0" distB="0" distL="0" distR="0" wp14:anchorId="078EB2DE" wp14:editId="1A532940">
            <wp:extent cx="4268140" cy="2897841"/>
            <wp:effectExtent l="0" t="0" r="0" b="0"/>
            <wp:docPr id="1613934945" name="drawing" descr="A chart that relays student performance on general education assessment outcomes for the academic year 2024-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34945" name="drawing" descr="A chart that relays student performance on general education assessment outcomes for the academic year 2024-2025."/>
                    <pic:cNvPicPr/>
                  </pic:nvPicPr>
                  <pic:blipFill>
                    <a:blip r:embed="rId12">
                      <a:extLst>
                        <a:ext uri="{28A0092B-C50C-407E-A947-70E740481C1C}">
                          <a14:useLocalDpi xmlns:a14="http://schemas.microsoft.com/office/drawing/2010/main"/>
                        </a:ext>
                      </a:extLst>
                    </a:blip>
                    <a:stretch>
                      <a:fillRect/>
                    </a:stretch>
                  </pic:blipFill>
                  <pic:spPr>
                    <a:xfrm>
                      <a:off x="0" y="0"/>
                      <a:ext cx="4268140" cy="2897841"/>
                    </a:xfrm>
                    <a:prstGeom prst="rect">
                      <a:avLst/>
                    </a:prstGeom>
                    <a:ln>
                      <a:solidFill>
                        <a:prstClr val="black"/>
                      </a:solidFill>
                    </a:ln>
                  </pic:spPr>
                </pic:pic>
              </a:graphicData>
            </a:graphic>
          </wp:inline>
        </w:drawing>
      </w:r>
    </w:p>
    <w:p w14:paraId="6F0DAC54" w14:textId="77777777" w:rsidR="000729D3" w:rsidRDefault="000729D3" w:rsidP="4AA52596">
      <w:pPr>
        <w:pStyle w:val="Heading3"/>
        <w:ind w:left="0"/>
      </w:pPr>
    </w:p>
    <w:p w14:paraId="00A3B0A7" w14:textId="7F0146FF" w:rsidR="00B552F3" w:rsidRPr="00B552F3" w:rsidRDefault="000729D3" w:rsidP="4AA52596">
      <w:pPr>
        <w:pStyle w:val="Heading3"/>
        <w:ind w:left="0"/>
      </w:pPr>
      <w:bookmarkStart w:id="6" w:name="_Toc880873524"/>
      <w:r>
        <w:rPr>
          <w:noProof/>
        </w:rPr>
        <mc:AlternateContent>
          <mc:Choice Requires="wps">
            <w:drawing>
              <wp:anchor distT="0" distB="0" distL="114300" distR="114300" simplePos="0" relativeHeight="251658242" behindDoc="0" locked="0" layoutInCell="1" allowOverlap="1" wp14:anchorId="1B847BD2" wp14:editId="371B2514">
                <wp:simplePos x="0" y="0"/>
                <wp:positionH relativeFrom="column">
                  <wp:posOffset>4318635</wp:posOffset>
                </wp:positionH>
                <wp:positionV relativeFrom="paragraph">
                  <wp:posOffset>23007</wp:posOffset>
                </wp:positionV>
                <wp:extent cx="1976120" cy="3108960"/>
                <wp:effectExtent l="0" t="0" r="5080" b="2540"/>
                <wp:wrapNone/>
                <wp:docPr id="564526968" name="Text Box 6"/>
                <wp:cNvGraphicFramePr/>
                <a:graphic xmlns:a="http://schemas.openxmlformats.org/drawingml/2006/main">
                  <a:graphicData uri="http://schemas.microsoft.com/office/word/2010/wordprocessingShape">
                    <wps:wsp>
                      <wps:cNvSpPr txBox="1"/>
                      <wps:spPr>
                        <a:xfrm>
                          <a:off x="0" y="0"/>
                          <a:ext cx="1976120" cy="3108960"/>
                        </a:xfrm>
                        <a:prstGeom prst="rect">
                          <a:avLst/>
                        </a:prstGeom>
                        <a:solidFill>
                          <a:schemeClr val="lt1"/>
                        </a:solidFill>
                        <a:ln w="6350">
                          <a:noFill/>
                        </a:ln>
                      </wps:spPr>
                      <wps:txbx>
                        <w:txbxContent>
                          <w:p w14:paraId="26AB235F" w14:textId="77777777" w:rsidR="00D14B6B" w:rsidRPr="006E2B03" w:rsidRDefault="00D14B6B" w:rsidP="00D14B6B">
                            <w:pPr>
                              <w:rPr>
                                <w:sz w:val="20"/>
                                <w:szCs w:val="20"/>
                                <w14:textOutline w14:w="9525" w14:cap="rnd" w14:cmpd="sng" w14:algn="ctr">
                                  <w14:noFill/>
                                  <w14:prstDash w14:val="solid"/>
                                  <w14:bevel/>
                                </w14:textOutline>
                              </w:rPr>
                            </w:pPr>
                            <w:r w:rsidRPr="006E2B03">
                              <w:rPr>
                                <w:sz w:val="20"/>
                                <w:szCs w:val="20"/>
                                <w14:textOutline w14:w="9525" w14:cap="rnd" w14:cmpd="sng" w14:algn="ctr">
                                  <w14:noFill/>
                                  <w14:prstDash w14:val="solid"/>
                                  <w14:bevel/>
                                </w14:textOutline>
                              </w:rPr>
                              <w:t>Chart two indicates that student performance in AY23-24 was strongest in Analysis/Synthesis and Human Experience, where most students exhibited mastery-level skills. Information Processing showed more inconsistent results, with many students at the low-skill and progressing skill levels. Communication and Problem-Solving reflected smaller, developing samples, with Progressing being the majority category for each. No students were assessed in Information Literacy, highlighting a gap in outcome measurement that limits year-to-year comparison.</w:t>
                            </w:r>
                          </w:p>
                          <w:p w14:paraId="09F11374" w14:textId="77777777" w:rsidR="000729D3" w:rsidRPr="00A51506" w:rsidRDefault="000729D3" w:rsidP="000729D3">
                            <w:pPr>
                              <w:spacing w:line="240" w:lineRule="auto"/>
                              <w:contextualSpacing/>
                              <w:textboxTightWrap w:val="allLines"/>
                              <w:rPr>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847BD2" id="_x0000_s1027" type="#_x0000_t202" style="position:absolute;margin-left:340.05pt;margin-top:1.8pt;width:155.6pt;height:244.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" fillcolor="white [3201]" stroked="f" strokeweight=".5pt">
                <v:textbox>
                  <w:txbxContent>
                    <w:p w14:paraId="26AB235F" w14:textId="77777777" w:rsidR="00D14B6B" w:rsidRPr="006E2B03" w:rsidRDefault="00D14B6B" w:rsidP="00D14B6B">
                      <w:pPr>
                        <w:rPr>
                          <w:sz w:val="20"/>
                          <w:szCs w:val="20"/>
                          <w14:textOutline w14:w="9525" w14:cap="rnd" w14:cmpd="sng" w14:algn="ctr">
                            <w14:noFill/>
                            <w14:prstDash w14:val="solid"/>
                            <w14:bevel/>
                          </w14:textOutline>
                        </w:rPr>
                      </w:pPr>
                      <w:r w:rsidRPr="006E2B03">
                        <w:rPr>
                          <w:sz w:val="20"/>
                          <w:szCs w:val="20"/>
                          <w14:textOutline w14:w="9525" w14:cap="rnd" w14:cmpd="sng" w14:algn="ctr">
                            <w14:noFill/>
                            <w14:prstDash w14:val="solid"/>
                            <w14:bevel/>
                          </w14:textOutline>
                        </w:rPr>
                        <w:t>Chart two indicates that student performance in AY23-24 was strongest in Analysis/Synthesis and Human Experience, where most students exhibited mastery-level skills. Information Processing showed more inconsistent results, with many students at the low-skill and progressing skill levels. Communication and Problem-Solving reflected smaller, developing samples, with Progressing being the majority category for each. No students were assessed in Information Literacy, highlighting a gap in outcome measurement that limits year-to-year comparison.</w:t>
                      </w:r>
                    </w:p>
                    <w:p w14:paraId="09F11374" w14:textId="77777777" w:rsidR="000729D3" w:rsidRPr="00A51506" w:rsidRDefault="000729D3" w:rsidP="000729D3">
                      <w:pPr>
                        <w:spacing w:line="240" w:lineRule="auto"/>
                        <w:contextualSpacing/>
                        <w:textboxTightWrap w:val="allLines"/>
                        <w:rPr>
                          <w:sz w:val="20"/>
                          <w:szCs w:val="20"/>
                          <w14:textOutline w14:w="9525" w14:cap="rnd" w14:cmpd="sng" w14:algn="ctr">
                            <w14:noFill/>
                            <w14:prstDash w14:val="solid"/>
                            <w14:bevel/>
                          </w14:textOutline>
                        </w:rPr>
                      </w:pPr>
                    </w:p>
                  </w:txbxContent>
                </v:textbox>
              </v:shape>
            </w:pict>
          </mc:Fallback>
        </mc:AlternateContent>
      </w:r>
      <w:r w:rsidR="13F30137">
        <w:t xml:space="preserve">Chart 2: General Education Assessment – By Outcome </w:t>
      </w:r>
      <w:r w:rsidR="43509B22">
        <w:t>AY23-24</w:t>
      </w:r>
      <w:bookmarkEnd w:id="6"/>
    </w:p>
    <w:p w14:paraId="17DFD281" w14:textId="5AA33C6E" w:rsidR="00B552F3" w:rsidRPr="00B552F3" w:rsidRDefault="000283F4" w:rsidP="0024742D">
      <w:r>
        <w:rPr>
          <w:noProof/>
        </w:rPr>
        <w:drawing>
          <wp:inline distT="0" distB="0" distL="0" distR="0" wp14:anchorId="5AAE1066" wp14:editId="528EFCDA">
            <wp:extent cx="4274204" cy="2940596"/>
            <wp:effectExtent l="0" t="0" r="0" b="0"/>
            <wp:docPr id="792871249" name="drawing" descr="A chart that relays student performance on general education assessment outcomes for the academic year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71249" name="drawing" descr="A chart that relays student performance on general education assessment outcomes for the academic year 2023-2024."/>
                    <pic:cNvPicPr/>
                  </pic:nvPicPr>
                  <pic:blipFill>
                    <a:blip r:embed="rId13">
                      <a:extLst>
                        <a:ext uri="{28A0092B-C50C-407E-A947-70E740481C1C}">
                          <a14:useLocalDpi xmlns:a14="http://schemas.microsoft.com/office/drawing/2010/main"/>
                        </a:ext>
                      </a:extLst>
                    </a:blip>
                    <a:stretch>
                      <a:fillRect/>
                    </a:stretch>
                  </pic:blipFill>
                  <pic:spPr>
                    <a:xfrm>
                      <a:off x="0" y="0"/>
                      <a:ext cx="4274204" cy="2940596"/>
                    </a:xfrm>
                    <a:prstGeom prst="rect">
                      <a:avLst/>
                    </a:prstGeom>
                    <a:ln>
                      <a:solidFill>
                        <a:prstClr val="black"/>
                      </a:solidFill>
                    </a:ln>
                  </pic:spPr>
                </pic:pic>
              </a:graphicData>
            </a:graphic>
          </wp:inline>
        </w:drawing>
      </w:r>
    </w:p>
    <w:p w14:paraId="78384B3D" w14:textId="4891794E" w:rsidR="000729D3" w:rsidRPr="00B57638" w:rsidRDefault="00A51506" w:rsidP="00B57638">
      <w:pPr>
        <w:rPr>
          <w:b/>
          <w:bCs/>
        </w:rPr>
      </w:pPr>
      <w:r w:rsidRPr="00B57638">
        <w:rPr>
          <w:b/>
          <w:bCs/>
        </w:rPr>
        <w:t>Year-to-Year Summary:</w:t>
      </w:r>
    </w:p>
    <w:p w14:paraId="5C0D8506" w14:textId="77777777" w:rsidR="002E7267" w:rsidRDefault="002E7267" w:rsidP="002E7267">
      <w:r>
        <w:t xml:space="preserve">A year-to-year comparison reveals a notable shift in student performance across General Education outcomes. In AY23-24, mastery was concentrated in Analysis/Synthesis and Human Experience, while AY24-25 saw notable improvements in Information Processing and Communication. Information Literacy reemerged in AY24-25 after being unassessed the previous year, whereas Problem Solving and Human </w:t>
      </w:r>
      <w:r>
        <w:lastRenderedPageBreak/>
        <w:t>Experience continued to have limited or uneven data. Overall, the results suggest improving consistency in outcome coverage and increasing mastery in cognitive and communication skills.</w:t>
      </w:r>
    </w:p>
    <w:p w14:paraId="46C30206" w14:textId="79FC465D" w:rsidR="00B552F3" w:rsidRPr="00B552F3" w:rsidRDefault="73402F2A" w:rsidP="0E942B5C">
      <w:pPr>
        <w:pStyle w:val="Heading3"/>
        <w:ind w:left="0"/>
      </w:pPr>
      <w:bookmarkStart w:id="7" w:name="_Toc1833597685"/>
      <w:r>
        <w:t xml:space="preserve">Chart </w:t>
      </w:r>
      <w:r w:rsidR="536E7511">
        <w:t>3</w:t>
      </w:r>
      <w:r>
        <w:t xml:space="preserve">: General Education </w:t>
      </w:r>
      <w:r w:rsidR="7411B16D">
        <w:t>Outcomes</w:t>
      </w:r>
      <w:r w:rsidR="179FDD0B">
        <w:t xml:space="preserve"> </w:t>
      </w:r>
      <w:r w:rsidR="7411B16D">
        <w:t>–</w:t>
      </w:r>
      <w:r w:rsidR="179FDD0B">
        <w:t xml:space="preserve"> </w:t>
      </w:r>
      <w:r w:rsidR="5AE2A724">
        <w:t>Number</w:t>
      </w:r>
      <w:r>
        <w:t xml:space="preserve"> of Students</w:t>
      </w:r>
      <w:r w:rsidR="5AE2A724">
        <w:t xml:space="preserve"> by SLO</w:t>
      </w:r>
      <w:r>
        <w:t xml:space="preserve"> </w:t>
      </w:r>
      <w:r w:rsidR="3C526C8E">
        <w:t>AY24-25</w:t>
      </w:r>
      <w:bookmarkEnd w:id="7"/>
    </w:p>
    <w:p w14:paraId="2EF3718F" w14:textId="76B91FB9" w:rsidR="00E44852" w:rsidRDefault="000D246C" w:rsidP="000D246C">
      <w:r>
        <w:rPr>
          <w:noProof/>
        </w:rPr>
        <w:drawing>
          <wp:inline distT="0" distB="0" distL="0" distR="0" wp14:anchorId="663E1F9A" wp14:editId="1A84D980">
            <wp:extent cx="5940425" cy="3293208"/>
            <wp:effectExtent l="12700" t="12700" r="15875" b="8890"/>
            <wp:docPr id="1449881349" name="Picture 7" descr="A chart showing the number of student participants in general education outcomes for the academic year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81349" name="Picture 7" descr="A chart showing the number of student participants in general education outcomes for the academic year 2023-2024."/>
                    <pic:cNvPicPr/>
                  </pic:nvPicPr>
                  <pic:blipFill rotWithShape="1">
                    <a:blip r:embed="rId14">
                      <a:extLst>
                        <a:ext uri="{28A0092B-C50C-407E-A947-70E740481C1C}">
                          <a14:useLocalDpi xmlns:a14="http://schemas.microsoft.com/office/drawing/2010/main" val="0"/>
                        </a:ext>
                      </a:extLst>
                    </a:blip>
                    <a:srcRect r="705" b="-381"/>
                    <a:stretch>
                      <a:fillRect/>
                    </a:stretch>
                  </pic:blipFill>
                  <pic:spPr bwMode="auto">
                    <a:xfrm>
                      <a:off x="0" y="0"/>
                      <a:ext cx="6124507" cy="3395258"/>
                    </a:xfrm>
                    <a:prstGeom prst="rect">
                      <a:avLst/>
                    </a:prstGeom>
                    <a:ln>
                      <a:solidFill>
                        <a:prstClr val="black"/>
                      </a:solidFill>
                    </a:ln>
                    <a:extLst>
                      <a:ext uri="{53640926-AAD7-44D8-BBD7-CCE9431645EC}">
                        <a14:shadowObscured xmlns:a14="http://schemas.microsoft.com/office/drawing/2010/main"/>
                      </a:ext>
                    </a:extLst>
                  </pic:spPr>
                </pic:pic>
              </a:graphicData>
            </a:graphic>
          </wp:inline>
        </w:drawing>
      </w:r>
    </w:p>
    <w:p w14:paraId="26349712" w14:textId="4D6D2931" w:rsidR="00DA1319" w:rsidRDefault="536E7511" w:rsidP="00DA1319">
      <w:pPr>
        <w:pStyle w:val="Heading3"/>
        <w:ind w:left="0"/>
      </w:pPr>
      <w:bookmarkStart w:id="8" w:name="_Toc1549217426"/>
      <w:r>
        <w:t xml:space="preserve">Chart 4: General Education Outcomes – Number of Students by SLO </w:t>
      </w:r>
      <w:r w:rsidR="7615A8A4">
        <w:t>AY23-24</w:t>
      </w:r>
      <w:bookmarkEnd w:id="8"/>
    </w:p>
    <w:p w14:paraId="52FD74D6" w14:textId="5DFBD829" w:rsidR="00373BC1" w:rsidRDefault="00B552F3" w:rsidP="00C30F79">
      <w:pPr>
        <w:rPr>
          <w:rFonts w:eastAsia="Times New Roman"/>
          <w:b/>
          <w:bCs/>
          <w:sz w:val="24"/>
          <w:szCs w:val="24"/>
        </w:rPr>
      </w:pPr>
      <w:r>
        <w:rPr>
          <w:noProof/>
        </w:rPr>
        <w:drawing>
          <wp:inline distT="0" distB="0" distL="0" distR="0" wp14:anchorId="7E443AB1" wp14:editId="496E75E3">
            <wp:extent cx="5943600" cy="2595490"/>
            <wp:effectExtent l="0" t="0" r="12700" b="8255"/>
            <wp:docPr id="2135573592" name="Chart 1" descr="A chart showing the number of student participants in general education outcomes for the academic year 2023-2024.">
              <a:extLst xmlns:a="http://schemas.openxmlformats.org/drawingml/2006/main">
                <a:ext uri="{FF2B5EF4-FFF2-40B4-BE49-F238E27FC236}">
                  <a16:creationId xmlns:a16="http://schemas.microsoft.com/office/drawing/2014/main" id="{E0578776-DFF1-0A7E-BDEA-78AF80EADF8A}"/>
                </a:ext>
                <a:ext uri="{147F2762-F138-4A5C-976F-8EAC2B608ADB}">
                  <a16:predDERef xmlns:a16="http://schemas.microsoft.com/office/drawing/2014/main" pred="{D96CCD6D-3CA5-9153-4068-60E49E012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90DAB" w:rsidRPr="2912B56D">
        <w:rPr>
          <w:rFonts w:eastAsia="Times New Roman"/>
          <w:b/>
          <w:bCs/>
          <w:sz w:val="24"/>
          <w:szCs w:val="24"/>
        </w:rPr>
        <w:t>Year-to-Year Summary:</w:t>
      </w:r>
    </w:p>
    <w:p w14:paraId="19BA6B6F" w14:textId="77777777" w:rsidR="00690DAB" w:rsidRPr="00955EFD" w:rsidRDefault="00690DAB" w:rsidP="00690DAB">
      <w:r w:rsidRPr="00955EFD">
        <w:t xml:space="preserve">Year-to-year comparisons show significant shifts in assessment coverage across General Education outcomes. In AY23-24, assessment activity focused mainly on Analysis/Synthesis and Information Processing, with limited representation for Communication and Problem Solving, and no assessments for Information Literacy. In AY24-25, overall assessment volume increased, especially in Information Processing and with the reintroduction of Information Literacy, both exceeding 1,200 assessments. </w:t>
      </w:r>
      <w:r w:rsidRPr="00955EFD">
        <w:lastRenderedPageBreak/>
        <w:t>There was a notable increase in Communication, while Analysis/Synthesis declined, and Human Experience was not assessed. These changes reflect growing institutional engagement with GE assessment, although the distribution across outcomes remains uneven.</w:t>
      </w:r>
    </w:p>
    <w:p w14:paraId="4A4CCB1E" w14:textId="0951A3E2" w:rsidR="00472538" w:rsidRPr="00D76EAB" w:rsidRDefault="36181C5A" w:rsidP="001211E8">
      <w:pPr>
        <w:pStyle w:val="Heading3"/>
        <w:ind w:left="0"/>
      </w:pPr>
      <w:bookmarkStart w:id="9" w:name="_Toc1613980785"/>
      <w:r>
        <w:t xml:space="preserve">Chart 5: Totals </w:t>
      </w:r>
      <w:r w:rsidR="26BA1973">
        <w:t>b</w:t>
      </w:r>
      <w:r>
        <w:t>y Bloom’s Level</w:t>
      </w:r>
      <w:bookmarkEnd w:id="9"/>
    </w:p>
    <w:p w14:paraId="66F8FEF5" w14:textId="7D6CAA23" w:rsidR="0038235F" w:rsidRPr="009E4732" w:rsidRDefault="008033D5" w:rsidP="0AFEF033">
      <w:pPr>
        <w:spacing w:after="0" w:line="240" w:lineRule="auto"/>
        <w:rPr>
          <w:rFonts w:eastAsia="Times New Roman"/>
          <w:sz w:val="24"/>
          <w:szCs w:val="24"/>
        </w:rPr>
      </w:pPr>
      <w:r>
        <w:rPr>
          <w:rFonts w:eastAsia="Times New Roman"/>
          <w:noProof/>
          <w:sz w:val="24"/>
          <w:szCs w:val="24"/>
        </w:rPr>
        <w:drawing>
          <wp:inline distT="0" distB="0" distL="0" distR="0" wp14:anchorId="4CC8051D" wp14:editId="264F83E4">
            <wp:extent cx="5943600" cy="4446270"/>
            <wp:effectExtent l="0" t="0" r="0" b="0"/>
            <wp:docPr id="1681023670" name="Picture 10" descr="A chart that relays the assessed level of Bloom’s Taxonomy for general education outcomes as reported by JCCC faculty. It provides percentages for each Bloom’s le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23670" name="Picture 10" descr="A chart that relays the assessed level of Bloom’s Taxonomy for general education outcomes as reported by JCCC faculty. It provides percentages for each Bloom’s level. "/>
                    <pic:cNvPicPr/>
                  </pic:nvPicPr>
                  <pic:blipFill>
                    <a:blip r:embed="rId16">
                      <a:extLst>
                        <a:ext uri="{28A0092B-C50C-407E-A947-70E740481C1C}">
                          <a14:useLocalDpi xmlns:a14="http://schemas.microsoft.com/office/drawing/2010/main" val="0"/>
                        </a:ext>
                      </a:extLst>
                    </a:blip>
                    <a:stretch>
                      <a:fillRect/>
                    </a:stretch>
                  </pic:blipFill>
                  <pic:spPr>
                    <a:xfrm>
                      <a:off x="0" y="0"/>
                      <a:ext cx="5943600" cy="4446270"/>
                    </a:xfrm>
                    <a:prstGeom prst="rect">
                      <a:avLst/>
                    </a:prstGeom>
                  </pic:spPr>
                </pic:pic>
              </a:graphicData>
            </a:graphic>
          </wp:inline>
        </w:drawing>
      </w:r>
    </w:p>
    <w:p w14:paraId="7851049D" w14:textId="20DA2A71" w:rsidR="00120023" w:rsidRPr="00955EFD" w:rsidRDefault="006E2B03" w:rsidP="22978F21">
      <w:pPr>
        <w:rPr>
          <w:color w:val="000000" w:themeColor="text1"/>
          <w:sz w:val="24"/>
          <w:szCs w:val="24"/>
        </w:rPr>
      </w:pPr>
      <w:r w:rsidRPr="0AAA0FB5">
        <w:rPr>
          <w:b/>
          <w:bCs/>
          <w:color w:val="000000" w:themeColor="text1"/>
          <w:sz w:val="24"/>
          <w:szCs w:val="24"/>
        </w:rPr>
        <w:t>Chart 5</w:t>
      </w:r>
      <w:r w:rsidRPr="0AAA0FB5">
        <w:rPr>
          <w:color w:val="000000" w:themeColor="text1"/>
          <w:sz w:val="24"/>
          <w:szCs w:val="24"/>
        </w:rPr>
        <w:t xml:space="preserve"> </w:t>
      </w:r>
      <w:r w:rsidR="00120023" w:rsidRPr="0AAA0FB5">
        <w:rPr>
          <w:color w:val="000000" w:themeColor="text1"/>
          <w:sz w:val="24"/>
          <w:szCs w:val="24"/>
        </w:rPr>
        <w:t>shows that most assessed outcomes focus on higher-order cognitive skills, with 40% of assessments targeting Analyzing and Comparing (Level 4) and 20% each on Understanding/Explaining (Level 2) and Evaluating/Critiquing/Defending (Level 5). The presence of 10% at both the Remembering/Recalling (Level 1) and Creating/Planning/Predicting (Level 6) levels indicates some diversity in cognitive demand</w:t>
      </w:r>
      <w:r w:rsidR="00385075" w:rsidRPr="0AAA0FB5">
        <w:rPr>
          <w:color w:val="000000" w:themeColor="text1"/>
          <w:sz w:val="24"/>
          <w:szCs w:val="24"/>
        </w:rPr>
        <w:t>.</w:t>
      </w:r>
      <w:r w:rsidR="00120023" w:rsidRPr="0AAA0FB5">
        <w:rPr>
          <w:color w:val="000000" w:themeColor="text1"/>
          <w:sz w:val="24"/>
          <w:szCs w:val="24"/>
        </w:rPr>
        <w:t xml:space="preserve"> </w:t>
      </w:r>
      <w:r w:rsidR="00385075" w:rsidRPr="0AAA0FB5">
        <w:rPr>
          <w:color w:val="000000" w:themeColor="text1"/>
          <w:sz w:val="24"/>
          <w:szCs w:val="24"/>
        </w:rPr>
        <w:t>However,</w:t>
      </w:r>
      <w:r w:rsidR="00120023" w:rsidRPr="0AAA0FB5">
        <w:rPr>
          <w:color w:val="000000" w:themeColor="text1"/>
          <w:sz w:val="24"/>
          <w:szCs w:val="24"/>
        </w:rPr>
        <w:t xml:space="preserve"> no assessments were reported at the Applying/Using (Level 3) level. Overall, assessment activity favors analytical and evaluative tasks, highlighting a strong emphasis on higher-order thinking but suggesting a need to diversify across all levels of Bloom’s taxonomy.</w:t>
      </w:r>
      <w:r w:rsidR="00385075" w:rsidRPr="0AAA0FB5">
        <w:rPr>
          <w:color w:val="000000" w:themeColor="text1"/>
          <w:sz w:val="24"/>
          <w:szCs w:val="24"/>
        </w:rPr>
        <w:t xml:space="preserve"> This is the first year </w:t>
      </w:r>
      <w:r w:rsidR="2841C055" w:rsidRPr="0AAA0FB5">
        <w:rPr>
          <w:color w:val="000000" w:themeColor="text1"/>
          <w:sz w:val="24"/>
          <w:szCs w:val="24"/>
        </w:rPr>
        <w:t>such</w:t>
      </w:r>
      <w:r w:rsidR="0CA1BB72" w:rsidRPr="0AAA0FB5">
        <w:rPr>
          <w:color w:val="000000" w:themeColor="text1"/>
          <w:sz w:val="24"/>
          <w:szCs w:val="24"/>
        </w:rPr>
        <w:t xml:space="preserve"> </w:t>
      </w:r>
      <w:r w:rsidR="00385075" w:rsidRPr="0AAA0FB5">
        <w:rPr>
          <w:color w:val="000000" w:themeColor="text1"/>
          <w:sz w:val="24"/>
          <w:szCs w:val="24"/>
        </w:rPr>
        <w:t>data w</w:t>
      </w:r>
      <w:r w:rsidR="31A81A3B" w:rsidRPr="0AAA0FB5">
        <w:rPr>
          <w:color w:val="000000" w:themeColor="text1"/>
          <w:sz w:val="24"/>
          <w:szCs w:val="24"/>
        </w:rPr>
        <w:t xml:space="preserve">ere </w:t>
      </w:r>
      <w:r w:rsidR="00385075" w:rsidRPr="0AAA0FB5">
        <w:rPr>
          <w:color w:val="000000" w:themeColor="text1"/>
          <w:sz w:val="24"/>
          <w:szCs w:val="24"/>
        </w:rPr>
        <w:t>collected</w:t>
      </w:r>
      <w:r w:rsidR="00112D41" w:rsidRPr="0AAA0FB5">
        <w:rPr>
          <w:color w:val="000000" w:themeColor="text1"/>
          <w:sz w:val="24"/>
          <w:szCs w:val="24"/>
        </w:rPr>
        <w:t>,</w:t>
      </w:r>
      <w:r w:rsidR="00385075" w:rsidRPr="0AAA0FB5">
        <w:rPr>
          <w:color w:val="000000" w:themeColor="text1"/>
          <w:sz w:val="24"/>
          <w:szCs w:val="24"/>
        </w:rPr>
        <w:t xml:space="preserve"> </w:t>
      </w:r>
      <w:r w:rsidR="7F8F1F5E" w:rsidRPr="0AAA0FB5">
        <w:rPr>
          <w:color w:val="000000" w:themeColor="text1"/>
          <w:sz w:val="24"/>
          <w:szCs w:val="24"/>
        </w:rPr>
        <w:t>bu</w:t>
      </w:r>
      <w:r w:rsidR="00112D41" w:rsidRPr="0AAA0FB5">
        <w:rPr>
          <w:color w:val="000000" w:themeColor="text1"/>
          <w:sz w:val="24"/>
          <w:szCs w:val="24"/>
        </w:rPr>
        <w:t xml:space="preserve">t was not collected </w:t>
      </w:r>
      <w:r w:rsidR="72394F2B" w:rsidRPr="0AAA0FB5">
        <w:rPr>
          <w:color w:val="000000" w:themeColor="text1"/>
          <w:sz w:val="24"/>
          <w:szCs w:val="24"/>
        </w:rPr>
        <w:t>on all submissions</w:t>
      </w:r>
      <w:r w:rsidR="00112D41" w:rsidRPr="0AAA0FB5">
        <w:rPr>
          <w:color w:val="000000" w:themeColor="text1"/>
          <w:sz w:val="24"/>
          <w:szCs w:val="24"/>
        </w:rPr>
        <w:t xml:space="preserve">. </w:t>
      </w:r>
    </w:p>
    <w:p w14:paraId="05F46061" w14:textId="572AEE6C" w:rsidR="00965EFD" w:rsidRPr="009E4732" w:rsidRDefault="00965EFD" w:rsidP="00120023">
      <w:pPr>
        <w:rPr>
          <w:rFonts w:eastAsia="Times New Roman"/>
        </w:rPr>
      </w:pPr>
    </w:p>
    <w:p w14:paraId="3A9B723E" w14:textId="7ABDACE2" w:rsidR="00965EFD" w:rsidRPr="009E4732" w:rsidRDefault="00965EFD" w:rsidP="0E942B5C">
      <w:r>
        <w:br w:type="page"/>
      </w:r>
    </w:p>
    <w:p w14:paraId="70C81A48" w14:textId="646B2458" w:rsidR="00965EFD" w:rsidRPr="009E4732" w:rsidRDefault="35A4A33A" w:rsidP="00ED67CF">
      <w:pPr>
        <w:pStyle w:val="Heading1"/>
        <w:rPr>
          <w:rFonts w:eastAsia="Times New Roman"/>
        </w:rPr>
      </w:pPr>
      <w:bookmarkStart w:id="10" w:name="_Toc1446606506"/>
      <w:r w:rsidRPr="26E9DF75">
        <w:rPr>
          <w:rFonts w:eastAsia="Times New Roman"/>
        </w:rPr>
        <w:lastRenderedPageBreak/>
        <w:t xml:space="preserve">Career and </w:t>
      </w:r>
      <w:r w:rsidR="62F87615" w:rsidRPr="26E9DF75">
        <w:rPr>
          <w:rFonts w:eastAsia="Times New Roman"/>
        </w:rPr>
        <w:t>T</w:t>
      </w:r>
      <w:r w:rsidRPr="26E9DF75">
        <w:rPr>
          <w:rFonts w:eastAsia="Times New Roman"/>
        </w:rPr>
        <w:t xml:space="preserve">echnical </w:t>
      </w:r>
      <w:r w:rsidR="62F87615" w:rsidRPr="26E9DF75">
        <w:rPr>
          <w:rFonts w:eastAsia="Times New Roman"/>
        </w:rPr>
        <w:t xml:space="preserve">Education </w:t>
      </w:r>
      <w:r w:rsidR="257270AB" w:rsidRPr="26E9DF75">
        <w:rPr>
          <w:rFonts w:eastAsia="Times New Roman"/>
        </w:rPr>
        <w:t xml:space="preserve">&amp; </w:t>
      </w:r>
      <w:r w:rsidRPr="26E9DF75">
        <w:rPr>
          <w:rFonts w:eastAsia="Times New Roman"/>
        </w:rPr>
        <w:t xml:space="preserve">Non-General Education </w:t>
      </w:r>
      <w:r w:rsidR="0EB468EF" w:rsidRPr="26E9DF75">
        <w:rPr>
          <w:rFonts w:eastAsia="Times New Roman"/>
        </w:rPr>
        <w:t>Reporting – Institutional Learning Outcomes (ILOs)</w:t>
      </w:r>
      <w:bookmarkEnd w:id="10"/>
    </w:p>
    <w:p w14:paraId="76EAEBE9" w14:textId="2D6935FE" w:rsidR="00965EFD" w:rsidRPr="009E4732" w:rsidRDefault="00965EFD" w:rsidP="00965EFD">
      <w:pPr>
        <w:spacing w:after="0" w:line="240" w:lineRule="auto"/>
        <w:rPr>
          <w:rFonts w:eastAsia="Times New Roman" w:cstheme="minorHAnsi"/>
        </w:rPr>
      </w:pPr>
    </w:p>
    <w:p w14:paraId="38491DED" w14:textId="4F27D6EA" w:rsidR="00965EFD" w:rsidRPr="009E4732" w:rsidRDefault="00965EFD" w:rsidP="00E20723">
      <w:pPr>
        <w:spacing w:after="0" w:line="360" w:lineRule="auto"/>
        <w:rPr>
          <w:rFonts w:eastAsia="Times New Roman" w:cstheme="minorHAnsi"/>
        </w:rPr>
      </w:pPr>
      <w:r w:rsidRPr="009E4732">
        <w:rPr>
          <w:rFonts w:eastAsia="Times New Roman" w:cstheme="minorHAnsi"/>
        </w:rPr>
        <w:t xml:space="preserve">Institutional Learning Outcomes </w:t>
      </w:r>
      <w:r w:rsidR="0055554B" w:rsidRPr="009E4732">
        <w:rPr>
          <w:rFonts w:eastAsia="Times New Roman" w:cstheme="minorHAnsi"/>
        </w:rPr>
        <w:t>(</w:t>
      </w:r>
      <w:r w:rsidRPr="009E4732">
        <w:rPr>
          <w:rFonts w:eastAsia="Times New Roman" w:cstheme="minorHAnsi"/>
        </w:rPr>
        <w:t>ILO</w:t>
      </w:r>
      <w:r w:rsidR="0055554B" w:rsidRPr="009E4732">
        <w:rPr>
          <w:rFonts w:eastAsia="Times New Roman" w:cstheme="minorHAnsi"/>
        </w:rPr>
        <w:t>s)</w:t>
      </w:r>
      <w:r w:rsidRPr="009E4732">
        <w:rPr>
          <w:rFonts w:eastAsia="Times New Roman" w:cstheme="minorHAnsi"/>
        </w:rPr>
        <w:t xml:space="preserve"> are assessed through Career and Technical Education programs, as well as coursework in transfer departments that are not </w:t>
      </w:r>
      <w:r w:rsidR="00062D34">
        <w:rPr>
          <w:rFonts w:eastAsia="Times New Roman" w:cstheme="minorHAnsi"/>
        </w:rPr>
        <w:t>aligned</w:t>
      </w:r>
      <w:r w:rsidRPr="009E4732">
        <w:rPr>
          <w:rFonts w:eastAsia="Times New Roman" w:cstheme="minorHAnsi"/>
        </w:rPr>
        <w:t xml:space="preserve"> </w:t>
      </w:r>
      <w:r w:rsidR="00062D34">
        <w:rPr>
          <w:rFonts w:eastAsia="Times New Roman" w:cstheme="minorHAnsi"/>
        </w:rPr>
        <w:t>with the</w:t>
      </w:r>
      <w:r w:rsidRPr="009E4732">
        <w:rPr>
          <w:rFonts w:eastAsia="Times New Roman" w:cstheme="minorHAnsi"/>
        </w:rPr>
        <w:t xml:space="preserve"> general education requirements. </w:t>
      </w:r>
      <w:r w:rsidR="00062D34">
        <w:rPr>
          <w:rFonts w:cstheme="minorHAnsi"/>
        </w:rPr>
        <w:t>Faculty use an eclectic set of teaching practices to develop talent and assessments to measure performance.</w:t>
      </w:r>
      <w:r w:rsidRPr="009E4732">
        <w:rPr>
          <w:rFonts w:eastAsia="Times New Roman" w:cstheme="minorHAnsi"/>
        </w:rPr>
        <w:t xml:space="preserve"> The five </w:t>
      </w:r>
      <w:r w:rsidR="0055554B" w:rsidRPr="009E4732">
        <w:rPr>
          <w:rFonts w:eastAsia="Times New Roman" w:cstheme="minorHAnsi"/>
        </w:rPr>
        <w:t>ILOs are:</w:t>
      </w:r>
    </w:p>
    <w:p w14:paraId="0E76C4EC" w14:textId="7D6D4F19" w:rsidR="0055554B" w:rsidRPr="009E4732" w:rsidRDefault="0055554B" w:rsidP="00E20723">
      <w:pPr>
        <w:spacing w:after="0" w:line="360" w:lineRule="auto"/>
        <w:rPr>
          <w:rFonts w:eastAsia="Times New Roman" w:cstheme="minorHAnsi"/>
        </w:rPr>
      </w:pPr>
    </w:p>
    <w:p w14:paraId="65806937" w14:textId="190BE8AD" w:rsidR="0055554B" w:rsidRPr="009E4732" w:rsidRDefault="0055554B" w:rsidP="00E20723">
      <w:pPr>
        <w:pStyle w:val="ListParagraph"/>
        <w:numPr>
          <w:ilvl w:val="0"/>
          <w:numId w:val="9"/>
        </w:numPr>
        <w:spacing w:after="0" w:line="360" w:lineRule="auto"/>
        <w:rPr>
          <w:rFonts w:eastAsia="Times New Roman" w:cstheme="minorHAnsi"/>
        </w:rPr>
      </w:pPr>
      <w:r w:rsidRPr="009E4732">
        <w:rPr>
          <w:rFonts w:eastAsia="Times New Roman" w:cstheme="minorHAnsi"/>
          <w:b/>
          <w:bCs/>
        </w:rPr>
        <w:t>Quantitative Literacy</w:t>
      </w:r>
      <w:r w:rsidRPr="009E4732">
        <w:rPr>
          <w:rFonts w:eastAsia="Times New Roman" w:cstheme="minorHAnsi"/>
        </w:rPr>
        <w:t>: Use quantitative skills to analyze and process information.</w:t>
      </w:r>
    </w:p>
    <w:p w14:paraId="78E9E433" w14:textId="5A1B9FDE" w:rsidR="0055554B" w:rsidRPr="009E4732" w:rsidRDefault="0055554B" w:rsidP="00E20723">
      <w:pPr>
        <w:pStyle w:val="ListParagraph"/>
        <w:numPr>
          <w:ilvl w:val="0"/>
          <w:numId w:val="9"/>
        </w:numPr>
        <w:spacing w:after="0" w:line="360" w:lineRule="auto"/>
        <w:rPr>
          <w:rFonts w:eastAsia="Times New Roman" w:cstheme="minorHAnsi"/>
        </w:rPr>
      </w:pPr>
      <w:r w:rsidRPr="009E4732">
        <w:rPr>
          <w:rFonts w:eastAsia="Times New Roman" w:cstheme="minorHAnsi"/>
          <w:b/>
          <w:bCs/>
        </w:rPr>
        <w:t>Critical Thinking</w:t>
      </w:r>
      <w:r w:rsidRPr="009E4732">
        <w:rPr>
          <w:rFonts w:eastAsia="Times New Roman" w:cstheme="minorHAnsi"/>
        </w:rPr>
        <w:t>: Acquire, interpret, and analyze information and apply appropriate problem-solving techniques to determine and evaluate solutions.</w:t>
      </w:r>
    </w:p>
    <w:p w14:paraId="70D0E767" w14:textId="53AA0848" w:rsidR="0055554B" w:rsidRPr="009E4732" w:rsidRDefault="0055554B" w:rsidP="00E20723">
      <w:pPr>
        <w:pStyle w:val="ListParagraph"/>
        <w:numPr>
          <w:ilvl w:val="0"/>
          <w:numId w:val="9"/>
        </w:numPr>
        <w:spacing w:after="0" w:line="360" w:lineRule="auto"/>
        <w:rPr>
          <w:rFonts w:eastAsia="Times New Roman" w:cstheme="minorHAnsi"/>
        </w:rPr>
      </w:pPr>
      <w:r w:rsidRPr="009E4732">
        <w:rPr>
          <w:rFonts w:eastAsia="Times New Roman" w:cstheme="minorHAnsi"/>
          <w:b/>
          <w:bCs/>
        </w:rPr>
        <w:t>Communication</w:t>
      </w:r>
      <w:r w:rsidRPr="009E4732">
        <w:rPr>
          <w:rFonts w:eastAsia="Times New Roman" w:cstheme="minorHAnsi"/>
        </w:rPr>
        <w:t>: Communicate effectively with clarity and purpose.</w:t>
      </w:r>
    </w:p>
    <w:p w14:paraId="3D0C8ED8" w14:textId="2C69D9B0" w:rsidR="0055554B" w:rsidRPr="009E4732" w:rsidRDefault="0055554B" w:rsidP="00E20723">
      <w:pPr>
        <w:pStyle w:val="ListParagraph"/>
        <w:numPr>
          <w:ilvl w:val="0"/>
          <w:numId w:val="9"/>
        </w:numPr>
        <w:spacing w:after="0" w:line="360" w:lineRule="auto"/>
        <w:rPr>
          <w:rFonts w:eastAsia="Times New Roman" w:cstheme="minorHAnsi"/>
        </w:rPr>
      </w:pPr>
      <w:r w:rsidRPr="009E4732">
        <w:rPr>
          <w:rFonts w:eastAsia="Times New Roman" w:cstheme="minorHAnsi"/>
          <w:b/>
          <w:bCs/>
        </w:rPr>
        <w:t>Social Responsibility</w:t>
      </w:r>
      <w:r w:rsidRPr="009E4732">
        <w:rPr>
          <w:rFonts w:eastAsia="Times New Roman" w:cstheme="minorHAnsi"/>
        </w:rPr>
        <w:t>: Be prepared to practice community engagement that reflects democratic citizenship, environmental responsibility, diversity, and international awareness.</w:t>
      </w:r>
    </w:p>
    <w:p w14:paraId="15965104" w14:textId="1CAA76C3" w:rsidR="00E00BF9" w:rsidRPr="00F02D71" w:rsidRDefault="0055554B" w:rsidP="00F02D71">
      <w:pPr>
        <w:pStyle w:val="ListParagraph"/>
        <w:numPr>
          <w:ilvl w:val="0"/>
          <w:numId w:val="9"/>
        </w:numPr>
        <w:spacing w:after="0" w:line="360" w:lineRule="auto"/>
        <w:rPr>
          <w:rFonts w:eastAsia="Times New Roman" w:cstheme="minorHAnsi"/>
        </w:rPr>
      </w:pPr>
      <w:r w:rsidRPr="009E4732">
        <w:rPr>
          <w:rFonts w:eastAsia="Times New Roman" w:cstheme="minorHAnsi"/>
          <w:b/>
          <w:bCs/>
        </w:rPr>
        <w:t>Person</w:t>
      </w:r>
      <w:r w:rsidR="00697AF6">
        <w:rPr>
          <w:rFonts w:eastAsia="Times New Roman" w:cstheme="minorHAnsi"/>
          <w:b/>
          <w:bCs/>
        </w:rPr>
        <w:t>al</w:t>
      </w:r>
      <w:r w:rsidRPr="009E4732">
        <w:rPr>
          <w:rFonts w:eastAsia="Times New Roman" w:cstheme="minorHAnsi"/>
          <w:b/>
          <w:bCs/>
        </w:rPr>
        <w:t xml:space="preserve"> Responsibility</w:t>
      </w:r>
      <w:r w:rsidRPr="009E4732">
        <w:rPr>
          <w:rFonts w:eastAsia="Times New Roman" w:cstheme="minorHAnsi"/>
        </w:rPr>
        <w:t xml:space="preserve">: Be </w:t>
      </w:r>
      <w:r w:rsidR="00697AF6" w:rsidRPr="009E4732">
        <w:rPr>
          <w:rFonts w:eastAsia="Times New Roman" w:cstheme="minorHAnsi"/>
        </w:rPr>
        <w:t>independen</w:t>
      </w:r>
      <w:r w:rsidR="00697AF6">
        <w:rPr>
          <w:rFonts w:eastAsia="Times New Roman" w:cstheme="minorHAnsi"/>
        </w:rPr>
        <w:t>t</w:t>
      </w:r>
      <w:r w:rsidR="00697AF6" w:rsidRPr="009E4732">
        <w:rPr>
          <w:rFonts w:eastAsia="Times New Roman" w:cstheme="minorHAnsi"/>
        </w:rPr>
        <w:t xml:space="preserve"> </w:t>
      </w:r>
      <w:r w:rsidRPr="009E4732">
        <w:rPr>
          <w:rFonts w:eastAsia="Times New Roman" w:cstheme="minorHAnsi"/>
        </w:rPr>
        <w:t>lifelong learners who have the skills necessary for economic, physical, social, mental, and emotional wellnes</w:t>
      </w:r>
      <w:r w:rsidR="00F02D71">
        <w:rPr>
          <w:rFonts w:eastAsia="Times New Roman" w:cstheme="minorHAnsi"/>
        </w:rPr>
        <w:t>s.</w:t>
      </w:r>
    </w:p>
    <w:p w14:paraId="568F98E3" w14:textId="77777777" w:rsidR="009A3E4D" w:rsidRDefault="009A3E4D" w:rsidP="00F02D71">
      <w:pPr>
        <w:pStyle w:val="Heading3"/>
        <w:ind w:left="0"/>
      </w:pPr>
    </w:p>
    <w:p w14:paraId="549B9BB7" w14:textId="77777777" w:rsidR="00062D34" w:rsidRDefault="00062D34">
      <w:pPr>
        <w:rPr>
          <w:rFonts w:asciiTheme="majorHAnsi" w:eastAsiaTheme="majorEastAsia" w:hAnsiTheme="majorHAnsi" w:cstheme="majorBidi"/>
          <w:color w:val="2F5496" w:themeColor="accent1" w:themeShade="BF"/>
          <w:sz w:val="26"/>
          <w:szCs w:val="26"/>
        </w:rPr>
      </w:pPr>
      <w:r>
        <w:br w:type="page"/>
      </w:r>
    </w:p>
    <w:p w14:paraId="78371BB2" w14:textId="4C3A7D6A" w:rsidR="00F02D71" w:rsidRDefault="00AF76D4" w:rsidP="00F02D71">
      <w:pPr>
        <w:pStyle w:val="Heading2"/>
      </w:pPr>
      <w:bookmarkStart w:id="11" w:name="_Toc2086887037"/>
      <w:r>
        <w:rPr>
          <w:noProof/>
        </w:rPr>
        <w:lastRenderedPageBreak/>
        <mc:AlternateContent>
          <mc:Choice Requires="wps">
            <w:drawing>
              <wp:anchor distT="0" distB="0" distL="114300" distR="114300" simplePos="0" relativeHeight="251658243" behindDoc="0" locked="0" layoutInCell="1" allowOverlap="1" wp14:anchorId="7ECE5C96" wp14:editId="274C96DE">
                <wp:simplePos x="0" y="0"/>
                <wp:positionH relativeFrom="column">
                  <wp:posOffset>4423752</wp:posOffset>
                </wp:positionH>
                <wp:positionV relativeFrom="paragraph">
                  <wp:posOffset>48895</wp:posOffset>
                </wp:positionV>
                <wp:extent cx="1976120" cy="3108960"/>
                <wp:effectExtent l="0" t="0" r="5080" b="2540"/>
                <wp:wrapNone/>
                <wp:docPr id="292610883" name="Text Box 6"/>
                <wp:cNvGraphicFramePr/>
                <a:graphic xmlns:a="http://schemas.openxmlformats.org/drawingml/2006/main">
                  <a:graphicData uri="http://schemas.microsoft.com/office/word/2010/wordprocessingShape">
                    <wps:wsp>
                      <wps:cNvSpPr txBox="1"/>
                      <wps:spPr>
                        <a:xfrm>
                          <a:off x="0" y="0"/>
                          <a:ext cx="1976120" cy="3108960"/>
                        </a:xfrm>
                        <a:prstGeom prst="rect">
                          <a:avLst/>
                        </a:prstGeom>
                        <a:solidFill>
                          <a:schemeClr val="lt1"/>
                        </a:solidFill>
                        <a:ln w="6350">
                          <a:noFill/>
                        </a:ln>
                      </wps:spPr>
                      <wps:txbx>
                        <w:txbxContent>
                          <w:p w14:paraId="2E9C14FB" w14:textId="14A373CA" w:rsidR="00AD38E6" w:rsidRPr="00AD38E6" w:rsidRDefault="00AD38E6" w:rsidP="00AD38E6">
                            <w:pPr>
                              <w:rPr>
                                <w:rFonts w:cstheme="minorHAnsi"/>
                                <w:color w:val="323130"/>
                                <w:sz w:val="20"/>
                                <w:szCs w:val="20"/>
                              </w:rPr>
                            </w:pPr>
                            <w:r>
                              <w:rPr>
                                <w:rFonts w:cstheme="minorHAnsi"/>
                                <w:color w:val="323130"/>
                                <w:sz w:val="20"/>
                                <w:szCs w:val="20"/>
                              </w:rPr>
                              <w:t>Chart six</w:t>
                            </w:r>
                            <w:r w:rsidRPr="00AD38E6">
                              <w:rPr>
                                <w:rFonts w:cstheme="minorHAnsi"/>
                                <w:color w:val="323130"/>
                                <w:sz w:val="20"/>
                                <w:szCs w:val="20"/>
                              </w:rPr>
                              <w:t xml:space="preserve"> indicates that Critical Thinking (ILO 2) was the most frequently assessed and highest-performing outcome for AY24-25, with most students demonstrating mastery and many</w:t>
                            </w:r>
                            <w:r w:rsidR="00385AE2">
                              <w:rPr>
                                <w:rFonts w:cstheme="minorHAnsi"/>
                                <w:color w:val="323130"/>
                                <w:sz w:val="20"/>
                                <w:szCs w:val="20"/>
                              </w:rPr>
                              <w:t xml:space="preserve"> demonstra</w:t>
                            </w:r>
                            <w:r w:rsidR="00472A8D">
                              <w:rPr>
                                <w:rFonts w:cstheme="minorHAnsi"/>
                                <w:color w:val="323130"/>
                                <w:sz w:val="20"/>
                                <w:szCs w:val="20"/>
                              </w:rPr>
                              <w:t>ting</w:t>
                            </w:r>
                            <w:r w:rsidRPr="00AD38E6">
                              <w:rPr>
                                <w:rFonts w:cstheme="minorHAnsi"/>
                                <w:color w:val="323130"/>
                                <w:sz w:val="20"/>
                                <w:szCs w:val="20"/>
                              </w:rPr>
                              <w:t xml:space="preserve"> proficiency. Quantitative Literacy (ILO 1) and Social Responsibility (ILO 4) showed moderate results with smaller assessment volumes, while Communication (ILO 3) and Personal Responsibility (ILO 5) had limited but high-performing data. Overall, results highlight institutional strength in Critical Thinking</w:t>
                            </w:r>
                            <w:r w:rsidR="00472A8D">
                              <w:rPr>
                                <w:rFonts w:cstheme="minorHAnsi"/>
                                <w:color w:val="323130"/>
                                <w:sz w:val="20"/>
                                <w:szCs w:val="20"/>
                              </w:rPr>
                              <w:t>,</w:t>
                            </w:r>
                            <w:r w:rsidRPr="00AD38E6">
                              <w:rPr>
                                <w:rFonts w:cstheme="minorHAnsi"/>
                                <w:color w:val="323130"/>
                                <w:sz w:val="20"/>
                                <w:szCs w:val="20"/>
                              </w:rPr>
                              <w:t xml:space="preserve"> but uneven assessment coverage across the full range of Institutional Learning Outcomes.</w:t>
                            </w:r>
                          </w:p>
                          <w:p w14:paraId="3A5BB48D" w14:textId="73EE3F11" w:rsidR="00AF76D4" w:rsidRPr="00AD38E6" w:rsidRDefault="00AF76D4" w:rsidP="00AF76D4">
                            <w:pPr>
                              <w:rPr>
                                <w:rFonts w:cstheme="minorHAnsi"/>
                                <w:sz w:val="20"/>
                                <w:szCs w:val="20"/>
                                <w14:textOutline w14:w="9525" w14:cap="rnd" w14:cmpd="sng" w14:algn="ctr">
                                  <w14:noFill/>
                                  <w14:prstDash w14:val="solid"/>
                                  <w14:bevel/>
                                </w14:textOutline>
                              </w:rPr>
                            </w:pPr>
                          </w:p>
                          <w:p w14:paraId="6B2A6128" w14:textId="77777777" w:rsidR="00AF76D4" w:rsidRPr="00AD38E6" w:rsidRDefault="00AF76D4" w:rsidP="00AF76D4">
                            <w:pPr>
                              <w:spacing w:line="240" w:lineRule="auto"/>
                              <w:contextualSpacing/>
                              <w:textboxTightWrap w:val="allLines"/>
                              <w:rPr>
                                <w:rFonts w:cstheme="minorHAns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E5C96" id="_x0000_s1028" type="#_x0000_t202" style="position:absolute;margin-left:348.35pt;margin-top:3.85pt;width:155.6pt;height:244.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" fillcolor="white [3201]" stroked="f" strokeweight=".5pt">
                <v:textbox>
                  <w:txbxContent>
                    <w:p w14:paraId="2E9C14FB" w14:textId="14A373CA" w:rsidR="00AD38E6" w:rsidRPr="00AD38E6" w:rsidRDefault="00AD38E6" w:rsidP="00AD38E6">
                      <w:pPr>
                        <w:rPr>
                          <w:rFonts w:cstheme="minorHAnsi"/>
                          <w:color w:val="323130"/>
                          <w:sz w:val="20"/>
                          <w:szCs w:val="20"/>
                        </w:rPr>
                      </w:pPr>
                      <w:r>
                        <w:rPr>
                          <w:rFonts w:cstheme="minorHAnsi"/>
                          <w:color w:val="323130"/>
                          <w:sz w:val="20"/>
                          <w:szCs w:val="20"/>
                        </w:rPr>
                        <w:t>Chart six</w:t>
                      </w:r>
                      <w:r w:rsidRPr="00AD38E6">
                        <w:rPr>
                          <w:rFonts w:cstheme="minorHAnsi"/>
                          <w:color w:val="323130"/>
                          <w:sz w:val="20"/>
                          <w:szCs w:val="20"/>
                        </w:rPr>
                        <w:t xml:space="preserve"> indicates that Critical Thinking (ILO 2) was the most frequently assessed and highest-performing outcome for AY24-25, with most students demonstrating mastery and many</w:t>
                      </w:r>
                      <w:r w:rsidR="00385AE2">
                        <w:rPr>
                          <w:rFonts w:cstheme="minorHAnsi"/>
                          <w:color w:val="323130"/>
                          <w:sz w:val="20"/>
                          <w:szCs w:val="20"/>
                        </w:rPr>
                        <w:t xml:space="preserve"> demonstra</w:t>
                      </w:r>
                      <w:r w:rsidR="00472A8D">
                        <w:rPr>
                          <w:rFonts w:cstheme="minorHAnsi"/>
                          <w:color w:val="323130"/>
                          <w:sz w:val="20"/>
                          <w:szCs w:val="20"/>
                        </w:rPr>
                        <w:t>ting</w:t>
                      </w:r>
                      <w:r w:rsidRPr="00AD38E6">
                        <w:rPr>
                          <w:rFonts w:cstheme="minorHAnsi"/>
                          <w:color w:val="323130"/>
                          <w:sz w:val="20"/>
                          <w:szCs w:val="20"/>
                        </w:rPr>
                        <w:t xml:space="preserve"> proficiency. Quantitative Literacy (ILO 1) and Social Responsibility (ILO 4) showed moderate results with smaller assessment volumes, while Communication (ILO 3) and Personal Responsibility (ILO 5) had limited but high-performing data. Overall, results highlight institutional strength in Critical Thinking</w:t>
                      </w:r>
                      <w:r w:rsidR="00472A8D">
                        <w:rPr>
                          <w:rFonts w:cstheme="minorHAnsi"/>
                          <w:color w:val="323130"/>
                          <w:sz w:val="20"/>
                          <w:szCs w:val="20"/>
                        </w:rPr>
                        <w:t>,</w:t>
                      </w:r>
                      <w:r w:rsidRPr="00AD38E6">
                        <w:rPr>
                          <w:rFonts w:cstheme="minorHAnsi"/>
                          <w:color w:val="323130"/>
                          <w:sz w:val="20"/>
                          <w:szCs w:val="20"/>
                        </w:rPr>
                        <w:t xml:space="preserve"> but uneven assessment coverage across the full range of Institutional Learning Outcomes.</w:t>
                      </w:r>
                    </w:p>
                    <w:p w14:paraId="3A5BB48D" w14:textId="73EE3F11" w:rsidR="00AF76D4" w:rsidRPr="00AD38E6" w:rsidRDefault="00AF76D4" w:rsidP="00AF76D4">
                      <w:pPr>
                        <w:rPr>
                          <w:rFonts w:cstheme="minorHAnsi"/>
                          <w:sz w:val="20"/>
                          <w:szCs w:val="20"/>
                          <w14:textOutline w14:w="9525" w14:cap="rnd" w14:cmpd="sng" w14:algn="ctr">
                            <w14:noFill/>
                            <w14:prstDash w14:val="solid"/>
                            <w14:bevel/>
                          </w14:textOutline>
                        </w:rPr>
                      </w:pPr>
                    </w:p>
                    <w:p w14:paraId="6B2A6128" w14:textId="77777777" w:rsidR="00AF76D4" w:rsidRPr="00AD38E6" w:rsidRDefault="00AF76D4" w:rsidP="00AF76D4">
                      <w:pPr>
                        <w:spacing w:line="240" w:lineRule="auto"/>
                        <w:contextualSpacing/>
                        <w:textboxTightWrap w:val="allLines"/>
                        <w:rPr>
                          <w:rFonts w:cstheme="minorHAnsi"/>
                          <w:sz w:val="20"/>
                          <w:szCs w:val="20"/>
                          <w14:textOutline w14:w="9525" w14:cap="rnd" w14:cmpd="sng" w14:algn="ctr">
                            <w14:noFill/>
                            <w14:prstDash w14:val="solid"/>
                            <w14:bevel/>
                          </w14:textOutline>
                        </w:rPr>
                      </w:pPr>
                    </w:p>
                  </w:txbxContent>
                </v:textbox>
              </v:shape>
            </w:pict>
          </mc:Fallback>
        </mc:AlternateContent>
      </w:r>
      <w:r w:rsidR="290AD11C">
        <w:t>Summative Data Tables for Non-General Education</w:t>
      </w:r>
      <w:r w:rsidR="46A19830">
        <w:t xml:space="preserve"> ILOs</w:t>
      </w:r>
      <w:bookmarkEnd w:id="11"/>
    </w:p>
    <w:p w14:paraId="34B17BB7" w14:textId="0A5AE343" w:rsidR="00E00BF9" w:rsidRPr="00741592" w:rsidRDefault="6EB7DE17" w:rsidP="00741592">
      <w:pPr>
        <w:pStyle w:val="Heading3"/>
        <w:ind w:left="0"/>
      </w:pPr>
      <w:bookmarkStart w:id="12" w:name="_Toc801991043"/>
      <w:r>
        <w:t xml:space="preserve">Chart </w:t>
      </w:r>
      <w:r w:rsidR="70C31BE2">
        <w:t>6</w:t>
      </w:r>
      <w:r>
        <w:t xml:space="preserve">: </w:t>
      </w:r>
      <w:r w:rsidR="7C575715">
        <w:t>ILO</w:t>
      </w:r>
      <w:r w:rsidR="6FB68206">
        <w:t xml:space="preserve"> </w:t>
      </w:r>
      <w:r w:rsidR="16CEE528">
        <w:t xml:space="preserve">- </w:t>
      </w:r>
      <w:r w:rsidR="6FB68206">
        <w:t xml:space="preserve">Assessment </w:t>
      </w:r>
      <w:r w:rsidR="4CCA3295">
        <w:t>Results</w:t>
      </w:r>
      <w:r w:rsidR="7C575715">
        <w:t xml:space="preserve"> </w:t>
      </w:r>
      <w:r w:rsidR="16CEE528">
        <w:t>by</w:t>
      </w:r>
      <w:r w:rsidR="7C575715">
        <w:t xml:space="preserve"> Outcome</w:t>
      </w:r>
      <w:r w:rsidR="52E5C8E3">
        <w:t xml:space="preserve"> AY24-25</w:t>
      </w:r>
      <w:bookmarkEnd w:id="12"/>
    </w:p>
    <w:p w14:paraId="21558041" w14:textId="2FC70D10" w:rsidR="00AC73BC" w:rsidRDefault="4EA0EDF7" w:rsidP="00112D41">
      <w:r>
        <w:rPr>
          <w:noProof/>
        </w:rPr>
        <w:drawing>
          <wp:inline distT="0" distB="0" distL="0" distR="0" wp14:anchorId="63F351D1" wp14:editId="5A548039">
            <wp:extent cx="4356696" cy="2765132"/>
            <wp:effectExtent l="0" t="0" r="0" b="0"/>
            <wp:docPr id="372263120" name="drawing" descr="A chart that relays student performance on institutional learning outcomes for the academic year 2024-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63120" name="drawing" descr="A chart that relays student performance on institutional learning outcomes for the academic year 2024-2025."/>
                    <pic:cNvPicPr/>
                  </pic:nvPicPr>
                  <pic:blipFill>
                    <a:blip r:embed="rId17">
                      <a:extLst>
                        <a:ext uri="{28A0092B-C50C-407E-A947-70E740481C1C}">
                          <a14:useLocalDpi xmlns:a14="http://schemas.microsoft.com/office/drawing/2010/main"/>
                        </a:ext>
                      </a:extLst>
                    </a:blip>
                    <a:stretch>
                      <a:fillRect/>
                    </a:stretch>
                  </pic:blipFill>
                  <pic:spPr>
                    <a:xfrm>
                      <a:off x="0" y="0"/>
                      <a:ext cx="4356696" cy="2765132"/>
                    </a:xfrm>
                    <a:prstGeom prst="rect">
                      <a:avLst/>
                    </a:prstGeom>
                    <a:ln>
                      <a:solidFill>
                        <a:prstClr val="black"/>
                      </a:solidFill>
                    </a:ln>
                  </pic:spPr>
                </pic:pic>
              </a:graphicData>
            </a:graphic>
          </wp:inline>
        </w:drawing>
      </w:r>
    </w:p>
    <w:p w14:paraId="663FDCC6" w14:textId="4E7669D6" w:rsidR="00D97D70" w:rsidRPr="009E4732" w:rsidRDefault="00037318" w:rsidP="00D97D70">
      <w:pPr>
        <w:pStyle w:val="Heading3"/>
        <w:ind w:left="0"/>
      </w:pPr>
      <w:bookmarkStart w:id="13" w:name="_Toc844406459"/>
      <w:r>
        <w:rPr>
          <w:noProof/>
        </w:rPr>
        <mc:AlternateContent>
          <mc:Choice Requires="wps">
            <w:drawing>
              <wp:anchor distT="0" distB="0" distL="114300" distR="114300" simplePos="0" relativeHeight="251658244" behindDoc="0" locked="0" layoutInCell="1" allowOverlap="1" wp14:anchorId="7609C48C" wp14:editId="55426E89">
                <wp:simplePos x="0" y="0"/>
                <wp:positionH relativeFrom="column">
                  <wp:posOffset>4466492</wp:posOffset>
                </wp:positionH>
                <wp:positionV relativeFrom="paragraph">
                  <wp:posOffset>97888</wp:posOffset>
                </wp:positionV>
                <wp:extent cx="1976120" cy="2968283"/>
                <wp:effectExtent l="0" t="0" r="5080" b="3810"/>
                <wp:wrapNone/>
                <wp:docPr id="1266715639" name="Text Box 6"/>
                <wp:cNvGraphicFramePr/>
                <a:graphic xmlns:a="http://schemas.openxmlformats.org/drawingml/2006/main">
                  <a:graphicData uri="http://schemas.microsoft.com/office/word/2010/wordprocessingShape">
                    <wps:wsp>
                      <wps:cNvSpPr txBox="1"/>
                      <wps:spPr>
                        <a:xfrm>
                          <a:off x="0" y="0"/>
                          <a:ext cx="1976120" cy="2968283"/>
                        </a:xfrm>
                        <a:prstGeom prst="rect">
                          <a:avLst/>
                        </a:prstGeom>
                        <a:solidFill>
                          <a:schemeClr val="lt1"/>
                        </a:solidFill>
                        <a:ln w="6350">
                          <a:noFill/>
                        </a:ln>
                      </wps:spPr>
                      <wps:txbx>
                        <w:txbxContent>
                          <w:p w14:paraId="39B7DC8E" w14:textId="534AC6E9" w:rsidR="009D5606" w:rsidRPr="009D5606" w:rsidRDefault="009D5606" w:rsidP="009D5606">
                            <w:pPr>
                              <w:rPr>
                                <w:rFonts w:cstheme="minorHAnsi"/>
                                <w:color w:val="323130"/>
                                <w:sz w:val="20"/>
                                <w:szCs w:val="20"/>
                              </w:rPr>
                            </w:pPr>
                            <w:r>
                              <w:rPr>
                                <w:rFonts w:cstheme="minorHAnsi"/>
                                <w:color w:val="323130"/>
                                <w:sz w:val="20"/>
                                <w:szCs w:val="20"/>
                              </w:rPr>
                              <w:t>Chart seven</w:t>
                            </w:r>
                            <w:r w:rsidRPr="009D5606">
                              <w:rPr>
                                <w:rFonts w:cstheme="minorHAnsi"/>
                                <w:color w:val="323130"/>
                                <w:sz w:val="20"/>
                                <w:szCs w:val="20"/>
                              </w:rPr>
                              <w:t xml:space="preserve"> </w:t>
                            </w:r>
                            <w:r>
                              <w:rPr>
                                <w:rFonts w:cstheme="minorHAnsi"/>
                                <w:color w:val="323130"/>
                                <w:sz w:val="20"/>
                                <w:szCs w:val="20"/>
                              </w:rPr>
                              <w:t>indicates</w:t>
                            </w:r>
                            <w:r w:rsidRPr="009D5606">
                              <w:rPr>
                                <w:rFonts w:cstheme="minorHAnsi"/>
                                <w:color w:val="323130"/>
                                <w:sz w:val="20"/>
                                <w:szCs w:val="20"/>
                              </w:rPr>
                              <w:t xml:space="preserve"> that Critical Thinking (ILO 2) was the most frequently assessed and highest-performing outcome in AY23-24, with most students demonstrating progressing or mastery-level skills. Quantitative Literacy (ILO 1) showed moderate performance, while Communication (ILO 3) and Social Responsibility (ILO 4) had smaller assessment volumes but strong mastery results. Overall, the results highlight institutional strength in critical thinking and communication, though assessment coverage across other outcomes remains uneven.</w:t>
                            </w:r>
                          </w:p>
                          <w:p w14:paraId="0EFDE508" w14:textId="77777777" w:rsidR="00037318" w:rsidRPr="009D5606" w:rsidRDefault="00037318" w:rsidP="00037318">
                            <w:pPr>
                              <w:rPr>
                                <w:rFonts w:cstheme="minorHAnsi"/>
                                <w:sz w:val="20"/>
                                <w:szCs w:val="20"/>
                                <w14:textOutline w14:w="9525" w14:cap="rnd" w14:cmpd="sng" w14:algn="ctr">
                                  <w14:noFill/>
                                  <w14:prstDash w14:val="solid"/>
                                  <w14:bevel/>
                                </w14:textOutline>
                              </w:rPr>
                            </w:pPr>
                          </w:p>
                          <w:p w14:paraId="3D4812F6" w14:textId="77777777" w:rsidR="00037318" w:rsidRPr="009D5606" w:rsidRDefault="00037318" w:rsidP="00037318">
                            <w:pPr>
                              <w:spacing w:line="240" w:lineRule="auto"/>
                              <w:contextualSpacing/>
                              <w:textboxTightWrap w:val="allLines"/>
                              <w:rPr>
                                <w:rFonts w:cstheme="minorHAns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09C48C" id="_x0000_s1029" type="#_x0000_t202" style="position:absolute;margin-left:351.7pt;margin-top:7.7pt;width:155.6pt;height:233.7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" fillcolor="white [3201]" stroked="f" strokeweight=".5pt">
                <v:textbox>
                  <w:txbxContent>
                    <w:p w14:paraId="39B7DC8E" w14:textId="534AC6E9" w:rsidR="009D5606" w:rsidRPr="009D5606" w:rsidRDefault="009D5606" w:rsidP="009D5606">
                      <w:pPr>
                        <w:rPr>
                          <w:rFonts w:cstheme="minorHAnsi"/>
                          <w:color w:val="323130"/>
                          <w:sz w:val="20"/>
                          <w:szCs w:val="20"/>
                        </w:rPr>
                      </w:pPr>
                      <w:r>
                        <w:rPr>
                          <w:rFonts w:cstheme="minorHAnsi"/>
                          <w:color w:val="323130"/>
                          <w:sz w:val="20"/>
                          <w:szCs w:val="20"/>
                        </w:rPr>
                        <w:t>Chart seven</w:t>
                      </w:r>
                      <w:r w:rsidRPr="009D5606">
                        <w:rPr>
                          <w:rFonts w:cstheme="minorHAnsi"/>
                          <w:color w:val="323130"/>
                          <w:sz w:val="20"/>
                          <w:szCs w:val="20"/>
                        </w:rPr>
                        <w:t xml:space="preserve"> </w:t>
                      </w:r>
                      <w:r>
                        <w:rPr>
                          <w:rFonts w:cstheme="minorHAnsi"/>
                          <w:color w:val="323130"/>
                          <w:sz w:val="20"/>
                          <w:szCs w:val="20"/>
                        </w:rPr>
                        <w:t>indicates</w:t>
                      </w:r>
                      <w:r w:rsidRPr="009D5606">
                        <w:rPr>
                          <w:rFonts w:cstheme="minorHAnsi"/>
                          <w:color w:val="323130"/>
                          <w:sz w:val="20"/>
                          <w:szCs w:val="20"/>
                        </w:rPr>
                        <w:t xml:space="preserve"> that Critical Thinking (ILO 2) was the most frequently assessed and highest-performing outcome in AY23-24, with most students demonstrating progressing or mastery-level skills. Quantitative Literacy (ILO 1) showed moderate performance, while Communication (ILO 3) and Social Responsibility (ILO 4) had smaller assessment volumes but strong mastery results. Overall, the results highlight institutional strength in critical thinking and communication, though assessment coverage across other outcomes remains uneven.</w:t>
                      </w:r>
                    </w:p>
                    <w:p w14:paraId="0EFDE508" w14:textId="77777777" w:rsidR="00037318" w:rsidRPr="009D5606" w:rsidRDefault="00037318" w:rsidP="00037318">
                      <w:pPr>
                        <w:rPr>
                          <w:rFonts w:cstheme="minorHAnsi"/>
                          <w:sz w:val="20"/>
                          <w:szCs w:val="20"/>
                          <w14:textOutline w14:w="9525" w14:cap="rnd" w14:cmpd="sng" w14:algn="ctr">
                            <w14:noFill/>
                            <w14:prstDash w14:val="solid"/>
                            <w14:bevel/>
                          </w14:textOutline>
                        </w:rPr>
                      </w:pPr>
                    </w:p>
                    <w:p w14:paraId="3D4812F6" w14:textId="77777777" w:rsidR="00037318" w:rsidRPr="009D5606" w:rsidRDefault="00037318" w:rsidP="00037318">
                      <w:pPr>
                        <w:spacing w:line="240" w:lineRule="auto"/>
                        <w:contextualSpacing/>
                        <w:textboxTightWrap w:val="allLines"/>
                        <w:rPr>
                          <w:rFonts w:cstheme="minorHAnsi"/>
                          <w:sz w:val="20"/>
                          <w:szCs w:val="20"/>
                          <w14:textOutline w14:w="9525" w14:cap="rnd" w14:cmpd="sng" w14:algn="ctr">
                            <w14:noFill/>
                            <w14:prstDash w14:val="solid"/>
                            <w14:bevel/>
                          </w14:textOutline>
                        </w:rPr>
                      </w:pPr>
                    </w:p>
                  </w:txbxContent>
                </v:textbox>
              </v:shape>
            </w:pict>
          </mc:Fallback>
        </mc:AlternateContent>
      </w:r>
      <w:r w:rsidR="7E64FF89">
        <w:t xml:space="preserve">Chart </w:t>
      </w:r>
      <w:r w:rsidR="70C31BE2">
        <w:t>7</w:t>
      </w:r>
      <w:r w:rsidR="7E64FF89">
        <w:t>: ILO - Assessment Results by Outcome</w:t>
      </w:r>
      <w:r w:rsidR="7CF4A2C0">
        <w:t xml:space="preserve"> AY23-24</w:t>
      </w:r>
      <w:bookmarkEnd w:id="13"/>
    </w:p>
    <w:p w14:paraId="68415661" w14:textId="0B0D0E5F" w:rsidR="00062D34" w:rsidRDefault="00411A02" w:rsidP="00955EFD">
      <w:r>
        <w:rPr>
          <w:noProof/>
        </w:rPr>
        <w:drawing>
          <wp:inline distT="0" distB="0" distL="0" distR="0" wp14:anchorId="57D5E599" wp14:editId="34C80980">
            <wp:extent cx="4404273" cy="2673928"/>
            <wp:effectExtent l="0" t="0" r="0" b="0"/>
            <wp:docPr id="695593279" name="Picture 8" descr="A chart that relays student performance on institutional learning outcomes for the academic year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93279" name="Picture 8" descr="A chart that relays student performance on institutional learning outcomes for the academic year 2023-2024."/>
                    <pic:cNvPicPr/>
                  </pic:nvPicPr>
                  <pic:blipFill>
                    <a:blip r:embed="rId18">
                      <a:extLst>
                        <a:ext uri="{28A0092B-C50C-407E-A947-70E740481C1C}">
                          <a14:useLocalDpi xmlns:a14="http://schemas.microsoft.com/office/drawing/2010/main"/>
                        </a:ext>
                      </a:extLst>
                    </a:blip>
                    <a:stretch>
                      <a:fillRect/>
                    </a:stretch>
                  </pic:blipFill>
                  <pic:spPr>
                    <a:xfrm>
                      <a:off x="0" y="0"/>
                      <a:ext cx="4404273" cy="2673928"/>
                    </a:xfrm>
                    <a:prstGeom prst="rect">
                      <a:avLst/>
                    </a:prstGeom>
                    <a:ln>
                      <a:solidFill>
                        <a:prstClr val="black"/>
                      </a:solidFill>
                    </a:ln>
                  </pic:spPr>
                </pic:pic>
              </a:graphicData>
            </a:graphic>
          </wp:inline>
        </w:drawing>
      </w:r>
    </w:p>
    <w:p w14:paraId="2FED3073" w14:textId="53261A5F" w:rsidR="00062D34" w:rsidRPr="00213183" w:rsidRDefault="004A3062" w:rsidP="00213183">
      <w:pPr>
        <w:rPr>
          <w:b/>
          <w:bCs/>
        </w:rPr>
      </w:pPr>
      <w:r w:rsidRPr="00213183">
        <w:rPr>
          <w:b/>
          <w:bCs/>
        </w:rPr>
        <w:t>Year-to-Year Summary:</w:t>
      </w:r>
    </w:p>
    <w:p w14:paraId="00633C69" w14:textId="3EAB37A7" w:rsidR="005859D4" w:rsidRPr="00955EFD" w:rsidRDefault="001F2DDD" w:rsidP="2912B56D">
      <w:pPr>
        <w:rPr>
          <w:sz w:val="24"/>
          <w:szCs w:val="24"/>
        </w:rPr>
      </w:pPr>
      <w:r w:rsidRPr="2912B56D">
        <w:rPr>
          <w:color w:val="323130"/>
          <w:sz w:val="24"/>
          <w:szCs w:val="24"/>
        </w:rPr>
        <w:t xml:space="preserve">Year-to-year results show consistent institutional strength in Critical Thinking (ILO 2), which remained both the most frequently assessed and highest-performing outcome in AY23-24 and AY24-25. Performance in Quantitative Literacy (ILO 1) and Social Responsibility (ILO 4) was moderate across both years, although assessment volumes increased slightly in AY24-25. Communication (ILO 3) and Personal Responsibility (ILO 5) continued to produce limited but high-performing data, indicating targeted rather than widespread assessment activity. Overall, the results suggest stability in student learning outcomes but ongoing inconsistency in the scope of outcome </w:t>
      </w:r>
      <w:r w:rsidR="18A5357B" w:rsidRPr="2912B56D">
        <w:rPr>
          <w:color w:val="323130"/>
          <w:sz w:val="24"/>
          <w:szCs w:val="24"/>
        </w:rPr>
        <w:t>coverage. ￼</w:t>
      </w:r>
    </w:p>
    <w:p w14:paraId="1C0EDA74" w14:textId="74E9690E" w:rsidR="001800C6" w:rsidRPr="009E4732" w:rsidRDefault="5525A857" w:rsidP="001800C6">
      <w:pPr>
        <w:pStyle w:val="Heading3"/>
        <w:ind w:left="0"/>
      </w:pPr>
      <w:bookmarkStart w:id="14" w:name="_Toc1359047719"/>
      <w:r>
        <w:lastRenderedPageBreak/>
        <w:t xml:space="preserve">Chart </w:t>
      </w:r>
      <w:r w:rsidR="70C31BE2">
        <w:t>8</w:t>
      </w:r>
      <w:r>
        <w:t xml:space="preserve">: </w:t>
      </w:r>
      <w:r w:rsidR="7C575715">
        <w:t xml:space="preserve">ILO </w:t>
      </w:r>
      <w:r w:rsidR="16CEE528">
        <w:t xml:space="preserve">- Number of </w:t>
      </w:r>
      <w:r w:rsidR="3C11994B">
        <w:t xml:space="preserve">Students Assessed </w:t>
      </w:r>
      <w:r w:rsidR="4BA9551E">
        <w:t>AY24-25</w:t>
      </w:r>
      <w:bookmarkEnd w:id="14"/>
    </w:p>
    <w:p w14:paraId="4DD09068" w14:textId="3488CE66" w:rsidR="008D61A4" w:rsidRDefault="00E00C35" w:rsidP="00955EFD">
      <w:r>
        <w:rPr>
          <w:noProof/>
        </w:rPr>
        <w:drawing>
          <wp:inline distT="0" distB="0" distL="0" distR="0" wp14:anchorId="7F62FECF" wp14:editId="156A4866">
            <wp:extent cx="5822928" cy="2948549"/>
            <wp:effectExtent l="12700" t="12700" r="6985" b="10795"/>
            <wp:docPr id="1150786363" name="Picture 11" descr="A chart that relays the number of student assessments by institutional learning outcome for the academic year 2024-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86363" name="Picture 11" descr="A chart that relays the number of student assessments by institutional learning outcome for the academic year 2024-2025."/>
                    <pic:cNvPicPr/>
                  </pic:nvPicPr>
                  <pic:blipFill>
                    <a:blip r:embed="rId19">
                      <a:extLst>
                        <a:ext uri="{28A0092B-C50C-407E-A947-70E740481C1C}">
                          <a14:useLocalDpi xmlns:a14="http://schemas.microsoft.com/office/drawing/2010/main" val="0"/>
                        </a:ext>
                      </a:extLst>
                    </a:blip>
                    <a:stretch>
                      <a:fillRect/>
                    </a:stretch>
                  </pic:blipFill>
                  <pic:spPr>
                    <a:xfrm>
                      <a:off x="0" y="0"/>
                      <a:ext cx="5851141" cy="2962835"/>
                    </a:xfrm>
                    <a:prstGeom prst="rect">
                      <a:avLst/>
                    </a:prstGeom>
                    <a:ln>
                      <a:solidFill>
                        <a:prstClr val="black"/>
                      </a:solidFill>
                    </a:ln>
                  </pic:spPr>
                </pic:pic>
              </a:graphicData>
            </a:graphic>
          </wp:inline>
        </w:drawing>
      </w:r>
    </w:p>
    <w:p w14:paraId="5004C51F" w14:textId="01280C52" w:rsidR="0063118F" w:rsidRPr="009E4732" w:rsidRDefault="0FEB2758" w:rsidP="0063118F">
      <w:pPr>
        <w:pStyle w:val="Heading3"/>
        <w:ind w:left="0"/>
      </w:pPr>
      <w:bookmarkStart w:id="15" w:name="_Toc1329999562"/>
      <w:r>
        <w:t xml:space="preserve">Chart </w:t>
      </w:r>
      <w:r w:rsidR="70C31BE2">
        <w:t>9</w:t>
      </w:r>
      <w:r>
        <w:t xml:space="preserve">: ILO - Number of </w:t>
      </w:r>
      <w:r w:rsidR="69425C86">
        <w:t xml:space="preserve">Students Assessed </w:t>
      </w:r>
      <w:r w:rsidR="7AE7E1D9">
        <w:t>AY23-24</w:t>
      </w:r>
      <w:bookmarkEnd w:id="15"/>
    </w:p>
    <w:p w14:paraId="618FAF53" w14:textId="2013C7F1" w:rsidR="008D61A4" w:rsidRDefault="008C3DE5" w:rsidP="0AFEF033">
      <w:pPr>
        <w:rPr>
          <w:rFonts w:eastAsia="Times New Roman"/>
          <w:b/>
          <w:bCs/>
          <w:sz w:val="24"/>
          <w:szCs w:val="24"/>
        </w:rPr>
      </w:pPr>
      <w:r>
        <w:rPr>
          <w:rFonts w:eastAsia="Times New Roman"/>
          <w:b/>
          <w:bCs/>
          <w:noProof/>
          <w:sz w:val="24"/>
          <w:szCs w:val="24"/>
        </w:rPr>
        <w:drawing>
          <wp:inline distT="0" distB="0" distL="0" distR="0" wp14:anchorId="31EA3940" wp14:editId="34786D1D">
            <wp:extent cx="5823585" cy="2941516"/>
            <wp:effectExtent l="12700" t="12700" r="18415" b="17780"/>
            <wp:docPr id="1745591630" name="Picture 10" descr="A chart that relays the number of student assessments by institutional learning outcome for the academic year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91630" name="Picture 10" descr="A chart that relays the number of student assessments by institutional learning outcome for the academic year 2023-2024."/>
                    <pic:cNvPicPr/>
                  </pic:nvPicPr>
                  <pic:blipFill>
                    <a:blip r:embed="rId20">
                      <a:extLst>
                        <a:ext uri="{28A0092B-C50C-407E-A947-70E740481C1C}">
                          <a14:useLocalDpi xmlns:a14="http://schemas.microsoft.com/office/drawing/2010/main" val="0"/>
                        </a:ext>
                      </a:extLst>
                    </a:blip>
                    <a:stretch>
                      <a:fillRect/>
                    </a:stretch>
                  </pic:blipFill>
                  <pic:spPr>
                    <a:xfrm>
                      <a:off x="0" y="0"/>
                      <a:ext cx="5915414" cy="2987899"/>
                    </a:xfrm>
                    <a:prstGeom prst="rect">
                      <a:avLst/>
                    </a:prstGeom>
                    <a:ln>
                      <a:solidFill>
                        <a:prstClr val="black"/>
                      </a:solidFill>
                    </a:ln>
                  </pic:spPr>
                </pic:pic>
              </a:graphicData>
            </a:graphic>
          </wp:inline>
        </w:drawing>
      </w:r>
    </w:p>
    <w:p w14:paraId="7CBCC3EF" w14:textId="774768A1" w:rsidR="00472BCD" w:rsidRDefault="00472BCD">
      <w:pPr>
        <w:rPr>
          <w:rFonts w:eastAsia="Times New Roman"/>
          <w:b/>
          <w:bCs/>
          <w:sz w:val="24"/>
          <w:szCs w:val="24"/>
        </w:rPr>
      </w:pPr>
      <w:r>
        <w:rPr>
          <w:rFonts w:eastAsia="Times New Roman"/>
          <w:b/>
          <w:bCs/>
          <w:sz w:val="24"/>
          <w:szCs w:val="24"/>
        </w:rPr>
        <w:t>Year-to-Year Summary:</w:t>
      </w:r>
      <w:r w:rsidR="008C0E9B">
        <w:rPr>
          <w:rFonts w:eastAsia="Times New Roman"/>
          <w:b/>
          <w:bCs/>
          <w:sz w:val="24"/>
          <w:szCs w:val="24"/>
        </w:rPr>
        <w:t xml:space="preserve"> </w:t>
      </w:r>
      <w:r w:rsidR="008C0E9B" w:rsidRPr="008C0E9B">
        <w:rPr>
          <w:rFonts w:cstheme="minorHAnsi"/>
          <w:color w:val="323130"/>
        </w:rPr>
        <w:t xml:space="preserve">Comparisons reveal a significant </w:t>
      </w:r>
      <w:r w:rsidR="00276312">
        <w:rPr>
          <w:rFonts w:cstheme="minorHAnsi"/>
          <w:color w:val="323130"/>
        </w:rPr>
        <w:t>increa</w:t>
      </w:r>
      <w:r w:rsidR="008C0E9B" w:rsidRPr="008C0E9B">
        <w:rPr>
          <w:rFonts w:cstheme="minorHAnsi"/>
          <w:color w:val="323130"/>
        </w:rPr>
        <w:t>se in the number of assess</w:t>
      </w:r>
      <w:r w:rsidR="00276312">
        <w:rPr>
          <w:rFonts w:cstheme="minorHAnsi"/>
          <w:color w:val="323130"/>
        </w:rPr>
        <w:t>ments</w:t>
      </w:r>
      <w:r w:rsidR="008C0E9B" w:rsidRPr="008C0E9B">
        <w:rPr>
          <w:rFonts w:cstheme="minorHAnsi"/>
          <w:color w:val="323130"/>
        </w:rPr>
        <w:t xml:space="preserve"> across nearly all Institutional Learning Outcomes</w:t>
      </w:r>
      <w:r w:rsidR="00C0691B">
        <w:rPr>
          <w:rFonts w:cstheme="minorHAnsi"/>
          <w:color w:val="323130"/>
        </w:rPr>
        <w:t xml:space="preserve"> </w:t>
      </w:r>
      <w:r w:rsidR="009E3EEC">
        <w:rPr>
          <w:rFonts w:cstheme="minorHAnsi"/>
          <w:color w:val="323130"/>
        </w:rPr>
        <w:t xml:space="preserve">in AY </w:t>
      </w:r>
      <w:r w:rsidR="00276312">
        <w:rPr>
          <w:rFonts w:cstheme="minorHAnsi"/>
          <w:color w:val="323130"/>
        </w:rPr>
        <w:t>2024-2025 (3,993) compared to AY 2023-2024</w:t>
      </w:r>
      <w:r w:rsidR="009E3EEC">
        <w:rPr>
          <w:rFonts w:cstheme="minorHAnsi"/>
          <w:color w:val="323130"/>
        </w:rPr>
        <w:t xml:space="preserve"> (</w:t>
      </w:r>
      <w:r w:rsidR="00F92E7E">
        <w:rPr>
          <w:rFonts w:cstheme="minorHAnsi"/>
          <w:color w:val="323130"/>
        </w:rPr>
        <w:t>2</w:t>
      </w:r>
      <w:r w:rsidR="00276312">
        <w:rPr>
          <w:rFonts w:cstheme="minorHAnsi"/>
          <w:color w:val="323130"/>
        </w:rPr>
        <w:t>,</w:t>
      </w:r>
      <w:r w:rsidR="00F92E7E">
        <w:rPr>
          <w:rFonts w:cstheme="minorHAnsi"/>
          <w:color w:val="323130"/>
        </w:rPr>
        <w:t>607</w:t>
      </w:r>
      <w:r w:rsidR="009E3EEC">
        <w:rPr>
          <w:rFonts w:cstheme="minorHAnsi"/>
          <w:color w:val="323130"/>
        </w:rPr>
        <w:t>)</w:t>
      </w:r>
      <w:r w:rsidR="008C0E9B" w:rsidRPr="008C0E9B">
        <w:rPr>
          <w:rFonts w:cstheme="minorHAnsi"/>
          <w:color w:val="323130"/>
        </w:rPr>
        <w:t xml:space="preserve">. Critical Thinking (ILO 2) remained the most frequently assessed outcome, increasing from 1,828 students in AY23-24 to 2,484 in AY24-25, underscoring its vital role in institutional assessment. Quantitative Literacy (ILO 1) also experienced notable growth, </w:t>
      </w:r>
      <w:r w:rsidR="00221E05">
        <w:rPr>
          <w:rFonts w:cstheme="minorHAnsi"/>
          <w:color w:val="323130"/>
        </w:rPr>
        <w:t>with</w:t>
      </w:r>
      <w:r w:rsidR="008C0E9B" w:rsidRPr="008C0E9B">
        <w:rPr>
          <w:rFonts w:cstheme="minorHAnsi"/>
          <w:color w:val="323130"/>
        </w:rPr>
        <w:t xml:space="preserve"> its assessment volume</w:t>
      </w:r>
      <w:r w:rsidR="00221E05">
        <w:rPr>
          <w:rFonts w:cstheme="minorHAnsi"/>
          <w:color w:val="323130"/>
        </w:rPr>
        <w:t xml:space="preserve"> more than doubling</w:t>
      </w:r>
      <w:r w:rsidR="008C0E9B" w:rsidRPr="008C0E9B">
        <w:rPr>
          <w:rFonts w:cstheme="minorHAnsi"/>
          <w:color w:val="323130"/>
        </w:rPr>
        <w:t>. Meanwhile, Communication (ILO 3), Social Responsibility (ILO 4), and Personal Responsibility (ILO 5) each showed modest gains, indicating a gradual expansion of assessment coverage. Overall, AY24-25 demonstrates increased participation and a more balanced assessment across outcomes, though Critical Thinking still leads in institutional assessment activity.</w:t>
      </w:r>
    </w:p>
    <w:p w14:paraId="5A8FCC1E" w14:textId="09C24424" w:rsidR="0063118F" w:rsidRPr="00E644D4" w:rsidRDefault="5F981704" w:rsidP="004E00B6">
      <w:pPr>
        <w:pStyle w:val="Heading3"/>
        <w:ind w:left="0"/>
      </w:pPr>
      <w:bookmarkStart w:id="16" w:name="_Toc511232462"/>
      <w:r>
        <w:lastRenderedPageBreak/>
        <w:t xml:space="preserve">Chart 10: Totals </w:t>
      </w:r>
      <w:r w:rsidR="1FA4F6D4">
        <w:t>by</w:t>
      </w:r>
      <w:r>
        <w:t xml:space="preserve"> Bloom</w:t>
      </w:r>
      <w:r w:rsidR="36181C5A">
        <w:t>’</w:t>
      </w:r>
      <w:r>
        <w:t>s Level</w:t>
      </w:r>
      <w:bookmarkEnd w:id="16"/>
    </w:p>
    <w:p w14:paraId="20BD41CB" w14:textId="4AFF6E3F" w:rsidR="00062D34" w:rsidRDefault="7C30C7B9" w:rsidP="0AFEF033">
      <w:r>
        <w:rPr>
          <w:noProof/>
        </w:rPr>
        <w:drawing>
          <wp:inline distT="0" distB="0" distL="0" distR="0" wp14:anchorId="3E7A622A" wp14:editId="0374B1C5">
            <wp:extent cx="5943600" cy="4924425"/>
            <wp:effectExtent l="0" t="0" r="0" b="0"/>
            <wp:docPr id="1296044029" name="drawing" descr="A chart that relays the assessed level of Bloom’s Taxonomy for institutional learning outcomes as reported by JCCC faculty. It provides percentages for each Bloom’s le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44029" name="drawing" descr="A chart that relays the assessed level of Bloom’s Taxonomy for institutional learning outcomes as reported by JCCC faculty. It provides percentages for each Bloom’s level. "/>
                    <pic:cNvPicPr/>
                  </pic:nvPicPr>
                  <pic:blipFill>
                    <a:blip r:embed="rId21">
                      <a:extLst>
                        <a:ext uri="{28A0092B-C50C-407E-A947-70E740481C1C}">
                          <a14:useLocalDpi xmlns:a14="http://schemas.microsoft.com/office/drawing/2010/main" val="0"/>
                        </a:ext>
                      </a:extLst>
                    </a:blip>
                    <a:stretch>
                      <a:fillRect/>
                    </a:stretch>
                  </pic:blipFill>
                  <pic:spPr>
                    <a:xfrm>
                      <a:off x="0" y="0"/>
                      <a:ext cx="5943600" cy="4924425"/>
                    </a:xfrm>
                    <a:prstGeom prst="rect">
                      <a:avLst/>
                    </a:prstGeom>
                  </pic:spPr>
                </pic:pic>
              </a:graphicData>
            </a:graphic>
          </wp:inline>
        </w:drawing>
      </w:r>
    </w:p>
    <w:p w14:paraId="78573A2F" w14:textId="760FC7D2" w:rsidR="008C26E7" w:rsidRPr="008C26E7" w:rsidRDefault="007C039D" w:rsidP="0945F12E">
      <w:pPr>
        <w:rPr>
          <w:color w:val="323130"/>
          <w:sz w:val="24"/>
          <w:szCs w:val="24"/>
        </w:rPr>
      </w:pPr>
      <w:r w:rsidRPr="0945F12E">
        <w:rPr>
          <w:rFonts w:eastAsia="Times New Roman"/>
          <w:b/>
          <w:bCs/>
          <w:sz w:val="24"/>
          <w:szCs w:val="24"/>
        </w:rPr>
        <w:t xml:space="preserve">Chart 10 </w:t>
      </w:r>
      <w:r w:rsidR="008C26E7" w:rsidRPr="0945F12E">
        <w:rPr>
          <w:color w:val="323130"/>
          <w:sz w:val="24"/>
          <w:szCs w:val="24"/>
        </w:rPr>
        <w:t xml:space="preserve">indicates that most assessed outcomes in AY24-25 focus on mid- to high-level cognitive skills, with Applying/Using (Level 3) making up the majority at 62%. </w:t>
      </w:r>
      <w:r w:rsidR="5292F992" w:rsidRPr="0945F12E">
        <w:rPr>
          <w:color w:val="323130"/>
          <w:sz w:val="24"/>
          <w:szCs w:val="24"/>
        </w:rPr>
        <w:t>Higher order</w:t>
      </w:r>
      <w:r w:rsidR="008C26E7" w:rsidRPr="0945F12E">
        <w:rPr>
          <w:color w:val="323130"/>
          <w:sz w:val="24"/>
          <w:szCs w:val="24"/>
        </w:rPr>
        <w:t xml:space="preserve"> thinking skills are also well represented, with Analyzing/Comparing (Level 4) at 19% and Creating/Planning/Predicting (Level 6) at 16%</w:t>
      </w:r>
      <w:r w:rsidR="00C54EFD" w:rsidRPr="0945F12E">
        <w:rPr>
          <w:color w:val="323130"/>
          <w:sz w:val="24"/>
          <w:szCs w:val="24"/>
        </w:rPr>
        <w:t>.</w:t>
      </w:r>
      <w:r w:rsidR="008C26E7" w:rsidRPr="0945F12E">
        <w:rPr>
          <w:color w:val="323130"/>
          <w:sz w:val="24"/>
          <w:szCs w:val="24"/>
        </w:rPr>
        <w:t xml:space="preserve"> </w:t>
      </w:r>
      <w:r w:rsidR="00C54EFD" w:rsidRPr="0945F12E">
        <w:rPr>
          <w:color w:val="323130"/>
          <w:sz w:val="24"/>
          <w:szCs w:val="24"/>
        </w:rPr>
        <w:t>In contrast,</w:t>
      </w:r>
      <w:r w:rsidR="008C26E7" w:rsidRPr="0945F12E">
        <w:rPr>
          <w:color w:val="323130"/>
          <w:sz w:val="24"/>
          <w:szCs w:val="24"/>
        </w:rPr>
        <w:t xml:space="preserve"> Evaluating/Criticizing/Defending (Level 5) accounts for only 3%. No assessments were reported at the foundational </w:t>
      </w:r>
      <w:r w:rsidR="00C54EFD" w:rsidRPr="0945F12E">
        <w:rPr>
          <w:color w:val="323130"/>
          <w:sz w:val="24"/>
          <w:szCs w:val="24"/>
        </w:rPr>
        <w:t xml:space="preserve">levels of </w:t>
      </w:r>
      <w:r w:rsidR="008C26E7" w:rsidRPr="0945F12E">
        <w:rPr>
          <w:color w:val="323130"/>
          <w:sz w:val="24"/>
          <w:szCs w:val="24"/>
        </w:rPr>
        <w:t xml:space="preserve">Remembering (Level 1) or Understanding (Level 2). Overall, the distribution </w:t>
      </w:r>
      <w:r w:rsidR="00C54EFD" w:rsidRPr="0945F12E">
        <w:rPr>
          <w:color w:val="323130"/>
          <w:sz w:val="24"/>
          <w:szCs w:val="24"/>
        </w:rPr>
        <w:t>suggest</w:t>
      </w:r>
      <w:r w:rsidR="008C26E7" w:rsidRPr="0945F12E">
        <w:rPr>
          <w:color w:val="323130"/>
          <w:sz w:val="24"/>
          <w:szCs w:val="24"/>
        </w:rPr>
        <w:t xml:space="preserve">s a strong institutional emphasis on applied and integrative learning, with </w:t>
      </w:r>
      <w:r w:rsidR="00C54EFD" w:rsidRPr="0945F12E">
        <w:rPr>
          <w:color w:val="323130"/>
          <w:sz w:val="24"/>
          <w:szCs w:val="24"/>
        </w:rPr>
        <w:t>a lesser</w:t>
      </w:r>
      <w:r w:rsidR="008C26E7" w:rsidRPr="0945F12E">
        <w:rPr>
          <w:color w:val="323130"/>
          <w:sz w:val="24"/>
          <w:szCs w:val="24"/>
        </w:rPr>
        <w:t xml:space="preserve"> focus on lower-level cognitive tasks.</w:t>
      </w:r>
    </w:p>
    <w:p w14:paraId="1AF4E960" w14:textId="456023DF" w:rsidR="005859D4" w:rsidRDefault="005859D4">
      <w:pPr>
        <w:rPr>
          <w:rFonts w:eastAsia="Times New Roman"/>
          <w:b/>
          <w:bCs/>
          <w:sz w:val="24"/>
          <w:szCs w:val="24"/>
        </w:rPr>
      </w:pPr>
      <w:r>
        <w:rPr>
          <w:rFonts w:eastAsia="Times New Roman"/>
          <w:b/>
          <w:bCs/>
          <w:sz w:val="24"/>
          <w:szCs w:val="24"/>
        </w:rPr>
        <w:br w:type="page"/>
      </w:r>
    </w:p>
    <w:p w14:paraId="7DF53F75" w14:textId="000CA110" w:rsidR="008A123C" w:rsidRDefault="414748DE" w:rsidP="004E00B6">
      <w:pPr>
        <w:pStyle w:val="Heading3"/>
        <w:ind w:left="0"/>
      </w:pPr>
      <w:bookmarkStart w:id="17" w:name="_Toc2007495347"/>
      <w:r>
        <w:lastRenderedPageBreak/>
        <w:t xml:space="preserve">Chart 11: </w:t>
      </w:r>
      <w:r w:rsidR="3443AA6B">
        <w:t>Mastery Percentage by Learning Outcome and Year</w:t>
      </w:r>
      <w:bookmarkEnd w:id="17"/>
    </w:p>
    <w:p w14:paraId="1334B122" w14:textId="6AC16654" w:rsidR="002E4BC4" w:rsidRDefault="00BF14DA" w:rsidP="000230AD">
      <w:pPr>
        <w:jc w:val="center"/>
        <w:rPr>
          <w:rFonts w:eastAsia="Times New Roman"/>
          <w:b/>
          <w:bCs/>
          <w:sz w:val="24"/>
          <w:szCs w:val="24"/>
        </w:rPr>
      </w:pPr>
      <w:r>
        <w:rPr>
          <w:rFonts w:eastAsia="Times New Roman"/>
          <w:b/>
          <w:bCs/>
          <w:noProof/>
          <w:sz w:val="24"/>
          <w:szCs w:val="24"/>
        </w:rPr>
        <w:drawing>
          <wp:inline distT="0" distB="0" distL="0" distR="0" wp14:anchorId="187F9C1B" wp14:editId="49929B02">
            <wp:extent cx="5446643" cy="2337435"/>
            <wp:effectExtent l="0" t="0" r="1905" b="0"/>
            <wp:docPr id="1374620910" name="Picture 14" descr="A table that conveys the mastery percentage for three consecutive years for the general education outcome and the institutional learning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20910" name="Picture 14" descr="A table that conveys the mastery percentage for three consecutive years for the general education outcome and the institutional learning outcome."/>
                    <pic:cNvPicPr/>
                  </pic:nvPicPr>
                  <pic:blipFill>
                    <a:blip r:embed="rId22">
                      <a:extLst>
                        <a:ext uri="{28A0092B-C50C-407E-A947-70E740481C1C}">
                          <a14:useLocalDpi xmlns:a14="http://schemas.microsoft.com/office/drawing/2010/main" val="0"/>
                        </a:ext>
                      </a:extLst>
                    </a:blip>
                    <a:stretch>
                      <a:fillRect/>
                    </a:stretch>
                  </pic:blipFill>
                  <pic:spPr>
                    <a:xfrm>
                      <a:off x="0" y="0"/>
                      <a:ext cx="5507283" cy="2363459"/>
                    </a:xfrm>
                    <a:prstGeom prst="rect">
                      <a:avLst/>
                    </a:prstGeom>
                  </pic:spPr>
                </pic:pic>
              </a:graphicData>
            </a:graphic>
          </wp:inline>
        </w:drawing>
      </w:r>
    </w:p>
    <w:p w14:paraId="43081874" w14:textId="4892CD90" w:rsidR="0085240F" w:rsidRPr="00A20F2B" w:rsidRDefault="00790C8F" w:rsidP="00FB0A54">
      <w:pPr>
        <w:jc w:val="both"/>
        <w:rPr>
          <w:rFonts w:cstheme="minorHAnsi"/>
          <w:color w:val="323130"/>
          <w:sz w:val="20"/>
          <w:szCs w:val="20"/>
        </w:rPr>
      </w:pPr>
      <w:r>
        <w:rPr>
          <w:rFonts w:cstheme="minorHAnsi"/>
          <w:color w:val="323130"/>
          <w:sz w:val="20"/>
          <w:szCs w:val="20"/>
        </w:rPr>
        <w:t>Chart 11</w:t>
      </w:r>
      <w:r w:rsidR="00AB121E" w:rsidRPr="00A20F2B">
        <w:rPr>
          <w:rFonts w:cstheme="minorHAnsi"/>
          <w:color w:val="323130"/>
          <w:sz w:val="20"/>
          <w:szCs w:val="20"/>
        </w:rPr>
        <w:t xml:space="preserve"> </w:t>
      </w:r>
      <w:r w:rsidR="004F290C">
        <w:rPr>
          <w:rFonts w:cstheme="minorHAnsi"/>
          <w:color w:val="323130"/>
          <w:sz w:val="20"/>
          <w:szCs w:val="20"/>
        </w:rPr>
        <w:t>indicates</w:t>
      </w:r>
      <w:r w:rsidR="00AB121E" w:rsidRPr="00A20F2B">
        <w:rPr>
          <w:rFonts w:cstheme="minorHAnsi"/>
          <w:color w:val="323130"/>
          <w:sz w:val="20"/>
          <w:szCs w:val="20"/>
        </w:rPr>
        <w:t xml:space="preserve"> improved mastery across </w:t>
      </w:r>
      <w:r w:rsidR="00806606">
        <w:rPr>
          <w:rFonts w:cstheme="minorHAnsi"/>
          <w:color w:val="323130"/>
          <w:sz w:val="20"/>
          <w:szCs w:val="20"/>
        </w:rPr>
        <w:t>some</w:t>
      </w:r>
      <w:r w:rsidR="00AB121E" w:rsidRPr="00A20F2B">
        <w:rPr>
          <w:rFonts w:cstheme="minorHAnsi"/>
          <w:color w:val="323130"/>
          <w:sz w:val="20"/>
          <w:szCs w:val="20"/>
        </w:rPr>
        <w:t xml:space="preserve"> outcomes from AY</w:t>
      </w:r>
      <w:r w:rsidR="00FB0A54" w:rsidRPr="00A20F2B">
        <w:rPr>
          <w:rFonts w:cstheme="minorHAnsi"/>
          <w:color w:val="323130"/>
          <w:sz w:val="20"/>
          <w:szCs w:val="20"/>
        </w:rPr>
        <w:t xml:space="preserve"> </w:t>
      </w:r>
      <w:r w:rsidR="00AB121E" w:rsidRPr="00A20F2B">
        <w:rPr>
          <w:rFonts w:cstheme="minorHAnsi"/>
          <w:color w:val="323130"/>
          <w:sz w:val="20"/>
          <w:szCs w:val="20"/>
        </w:rPr>
        <w:t>2023 to AY</w:t>
      </w:r>
      <w:r w:rsidR="00FB0A54" w:rsidRPr="00A20F2B">
        <w:rPr>
          <w:rFonts w:cstheme="minorHAnsi"/>
          <w:color w:val="323130"/>
          <w:sz w:val="20"/>
          <w:szCs w:val="20"/>
        </w:rPr>
        <w:t xml:space="preserve"> </w:t>
      </w:r>
      <w:r w:rsidR="00AB121E" w:rsidRPr="00A20F2B">
        <w:rPr>
          <w:rFonts w:cstheme="minorHAnsi"/>
          <w:color w:val="323130"/>
          <w:sz w:val="20"/>
          <w:szCs w:val="20"/>
        </w:rPr>
        <w:t xml:space="preserve">2025, with the most consistent performance in Personal Responsibility and Critical Thinking. </w:t>
      </w:r>
      <w:r w:rsidR="007731DD">
        <w:rPr>
          <w:rFonts w:cstheme="minorHAnsi"/>
          <w:color w:val="323130"/>
          <w:sz w:val="20"/>
          <w:szCs w:val="20"/>
        </w:rPr>
        <w:t>The</w:t>
      </w:r>
      <w:r w:rsidR="004B6DE5">
        <w:rPr>
          <w:rFonts w:cstheme="minorHAnsi"/>
          <w:color w:val="323130"/>
          <w:sz w:val="20"/>
          <w:szCs w:val="20"/>
        </w:rPr>
        <w:t xml:space="preserve"> </w:t>
      </w:r>
      <w:r w:rsidR="00AB121E" w:rsidRPr="00A20F2B">
        <w:rPr>
          <w:rFonts w:cstheme="minorHAnsi"/>
          <w:color w:val="323130"/>
          <w:sz w:val="20"/>
          <w:szCs w:val="20"/>
        </w:rPr>
        <w:t xml:space="preserve">Communication </w:t>
      </w:r>
      <w:r w:rsidR="007731DD">
        <w:rPr>
          <w:rFonts w:cstheme="minorHAnsi"/>
          <w:color w:val="323130"/>
          <w:sz w:val="20"/>
          <w:szCs w:val="20"/>
        </w:rPr>
        <w:t xml:space="preserve">ILO </w:t>
      </w:r>
      <w:r w:rsidR="00AB121E" w:rsidRPr="00A20F2B">
        <w:rPr>
          <w:rFonts w:cstheme="minorHAnsi"/>
          <w:color w:val="323130"/>
          <w:sz w:val="20"/>
          <w:szCs w:val="20"/>
        </w:rPr>
        <w:t>demonstrated significant gains over time</w:t>
      </w:r>
      <w:r w:rsidR="007731DD">
        <w:rPr>
          <w:rFonts w:cstheme="minorHAnsi"/>
          <w:color w:val="323130"/>
          <w:sz w:val="20"/>
          <w:szCs w:val="20"/>
        </w:rPr>
        <w:t>, with</w:t>
      </w:r>
      <w:r w:rsidR="00AB121E" w:rsidRPr="00A20F2B">
        <w:rPr>
          <w:rFonts w:cstheme="minorHAnsi"/>
          <w:color w:val="323130"/>
          <w:sz w:val="20"/>
          <w:szCs w:val="20"/>
        </w:rPr>
        <w:t xml:space="preserve"> mastery </w:t>
      </w:r>
      <w:r w:rsidR="00222B5B" w:rsidRPr="00A20F2B">
        <w:rPr>
          <w:rFonts w:cstheme="minorHAnsi"/>
          <w:color w:val="323130"/>
          <w:sz w:val="20"/>
          <w:szCs w:val="20"/>
        </w:rPr>
        <w:t>increas</w:t>
      </w:r>
      <w:r w:rsidR="007731DD">
        <w:rPr>
          <w:rFonts w:cstheme="minorHAnsi"/>
          <w:color w:val="323130"/>
          <w:sz w:val="20"/>
          <w:szCs w:val="20"/>
        </w:rPr>
        <w:t>ing</w:t>
      </w:r>
      <w:r w:rsidR="00AB121E" w:rsidRPr="00A20F2B">
        <w:rPr>
          <w:rFonts w:cstheme="minorHAnsi"/>
          <w:color w:val="323130"/>
          <w:sz w:val="20"/>
          <w:szCs w:val="20"/>
        </w:rPr>
        <w:t xml:space="preserve"> sharply to nearly 90% by AY</w:t>
      </w:r>
      <w:r w:rsidR="00222B5B" w:rsidRPr="00A20F2B">
        <w:rPr>
          <w:rFonts w:cstheme="minorHAnsi"/>
          <w:color w:val="323130"/>
          <w:sz w:val="20"/>
          <w:szCs w:val="20"/>
        </w:rPr>
        <w:t xml:space="preserve"> </w:t>
      </w:r>
      <w:r w:rsidR="00AB121E" w:rsidRPr="00A20F2B">
        <w:rPr>
          <w:rFonts w:cstheme="minorHAnsi"/>
          <w:color w:val="323130"/>
          <w:sz w:val="20"/>
          <w:szCs w:val="20"/>
        </w:rPr>
        <w:t>2025. Quantitative Literacy and Social Responsibility also improved notably, while Problem Solving rebounded strongly after a dip in AY</w:t>
      </w:r>
      <w:r w:rsidR="00222B5B" w:rsidRPr="00A20F2B">
        <w:rPr>
          <w:rFonts w:cstheme="minorHAnsi"/>
          <w:color w:val="323130"/>
          <w:sz w:val="20"/>
          <w:szCs w:val="20"/>
        </w:rPr>
        <w:t xml:space="preserve"> </w:t>
      </w:r>
      <w:r w:rsidR="00AB121E" w:rsidRPr="00A20F2B">
        <w:rPr>
          <w:rFonts w:cstheme="minorHAnsi"/>
          <w:color w:val="323130"/>
          <w:sz w:val="20"/>
          <w:szCs w:val="20"/>
        </w:rPr>
        <w:t>2024. In contrast, Information Literacy and Information Processing showed inconsistent performance. Overall, the data indicate increasing mastery in key skill areas, especially in higher-order thinking and applied communication, although some learning outcomes still display year-to-year variability.</w:t>
      </w:r>
    </w:p>
    <w:p w14:paraId="5EDED3BF" w14:textId="2250BED4" w:rsidR="00B57638" w:rsidRDefault="00834989" w:rsidP="00B57638">
      <w:pPr>
        <w:pStyle w:val="Heading3"/>
        <w:ind w:left="0"/>
      </w:pPr>
      <w:bookmarkStart w:id="18" w:name="_Toc620575508"/>
      <w:r>
        <w:t>Chart 12: Progressing Percentage by Learning Outcome and Year</w:t>
      </w:r>
      <w:bookmarkEnd w:id="18"/>
    </w:p>
    <w:p w14:paraId="6D7923A2" w14:textId="77777777" w:rsidR="00A20F2B" w:rsidRDefault="00AE5463" w:rsidP="002324FE">
      <w:pPr>
        <w:jc w:val="center"/>
        <w:rPr>
          <w:b/>
          <w:bCs/>
        </w:rPr>
      </w:pPr>
      <w:r>
        <w:rPr>
          <w:noProof/>
        </w:rPr>
        <w:drawing>
          <wp:inline distT="0" distB="0" distL="0" distR="0" wp14:anchorId="767BBBC3" wp14:editId="4065D3BF">
            <wp:extent cx="5498875" cy="2374203"/>
            <wp:effectExtent l="0" t="0" r="0" b="0"/>
            <wp:docPr id="853994172" name="Picture 16" descr="A table that conveys the progressing percentage for three consecutive years for the general education outcome and the institutional learning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94172" name="Picture 16" descr="A table that conveys the progressing percentage for three consecutive years for the general education outcome and the institutional learning outcome."/>
                    <pic:cNvPicPr/>
                  </pic:nvPicPr>
                  <pic:blipFill>
                    <a:blip r:embed="rId23">
                      <a:extLst>
                        <a:ext uri="{28A0092B-C50C-407E-A947-70E740481C1C}">
                          <a14:useLocalDpi xmlns:a14="http://schemas.microsoft.com/office/drawing/2010/main"/>
                        </a:ext>
                      </a:extLst>
                    </a:blip>
                    <a:stretch>
                      <a:fillRect/>
                    </a:stretch>
                  </pic:blipFill>
                  <pic:spPr>
                    <a:xfrm>
                      <a:off x="0" y="0"/>
                      <a:ext cx="5498875" cy="2374203"/>
                    </a:xfrm>
                    <a:prstGeom prst="rect">
                      <a:avLst/>
                    </a:prstGeom>
                  </pic:spPr>
                </pic:pic>
              </a:graphicData>
            </a:graphic>
          </wp:inline>
        </w:drawing>
      </w:r>
    </w:p>
    <w:p w14:paraId="3C83BEA0" w14:textId="7A59E652" w:rsidR="00A20F2B" w:rsidRPr="00F7671C" w:rsidRDefault="0026715F" w:rsidP="2912B56D">
      <w:pPr>
        <w:jc w:val="both"/>
        <w:rPr>
          <w:color w:val="323130"/>
          <w:sz w:val="21"/>
          <w:szCs w:val="21"/>
        </w:rPr>
      </w:pPr>
      <w:r w:rsidRPr="2912B56D">
        <w:rPr>
          <w:color w:val="323130"/>
          <w:sz w:val="21"/>
          <w:szCs w:val="21"/>
        </w:rPr>
        <w:t>Chart 12</w:t>
      </w:r>
      <w:r w:rsidR="00A20F2B" w:rsidRPr="2912B56D">
        <w:rPr>
          <w:color w:val="323130"/>
          <w:sz w:val="21"/>
          <w:szCs w:val="21"/>
        </w:rPr>
        <w:t xml:space="preserve"> indicates</w:t>
      </w:r>
      <w:r w:rsidR="004B07B4" w:rsidRPr="2912B56D">
        <w:rPr>
          <w:color w:val="323130"/>
          <w:sz w:val="21"/>
          <w:szCs w:val="21"/>
        </w:rPr>
        <w:t xml:space="preserve"> </w:t>
      </w:r>
      <w:r w:rsidR="00A92E6F" w:rsidRPr="2912B56D">
        <w:rPr>
          <w:color w:val="323130"/>
          <w:sz w:val="21"/>
          <w:szCs w:val="21"/>
        </w:rPr>
        <w:t xml:space="preserve">no </w:t>
      </w:r>
      <w:r w:rsidR="00E77959" w:rsidRPr="2912B56D">
        <w:rPr>
          <w:color w:val="323130"/>
          <w:sz w:val="21"/>
          <w:szCs w:val="21"/>
        </w:rPr>
        <w:t xml:space="preserve">discernible </w:t>
      </w:r>
      <w:r w:rsidR="00A92E6F" w:rsidRPr="2912B56D">
        <w:rPr>
          <w:color w:val="323130"/>
          <w:sz w:val="21"/>
          <w:szCs w:val="21"/>
        </w:rPr>
        <w:t xml:space="preserve">pattern </w:t>
      </w:r>
      <w:r w:rsidR="00E77959" w:rsidRPr="2912B56D">
        <w:rPr>
          <w:color w:val="323130"/>
          <w:sz w:val="21"/>
          <w:szCs w:val="21"/>
        </w:rPr>
        <w:t>in progressing scores</w:t>
      </w:r>
      <w:r w:rsidR="00A20F2B" w:rsidRPr="2912B56D">
        <w:rPr>
          <w:color w:val="323130"/>
          <w:sz w:val="21"/>
          <w:szCs w:val="21"/>
        </w:rPr>
        <w:t xml:space="preserve"> from AY</w:t>
      </w:r>
      <w:r w:rsidR="00F7671C" w:rsidRPr="2912B56D">
        <w:rPr>
          <w:color w:val="323130"/>
          <w:sz w:val="21"/>
          <w:szCs w:val="21"/>
        </w:rPr>
        <w:t xml:space="preserve"> </w:t>
      </w:r>
      <w:r w:rsidR="00A20F2B" w:rsidRPr="2912B56D">
        <w:rPr>
          <w:color w:val="323130"/>
          <w:sz w:val="21"/>
          <w:szCs w:val="21"/>
        </w:rPr>
        <w:t>2023 to AY</w:t>
      </w:r>
      <w:r w:rsidR="00F7671C" w:rsidRPr="2912B56D">
        <w:rPr>
          <w:color w:val="323130"/>
          <w:sz w:val="21"/>
          <w:szCs w:val="21"/>
        </w:rPr>
        <w:t xml:space="preserve"> </w:t>
      </w:r>
      <w:r w:rsidR="00A20F2B" w:rsidRPr="2912B56D">
        <w:rPr>
          <w:color w:val="323130"/>
          <w:sz w:val="21"/>
          <w:szCs w:val="21"/>
        </w:rPr>
        <w:t xml:space="preserve">2025. </w:t>
      </w:r>
      <w:r w:rsidRPr="2912B56D">
        <w:rPr>
          <w:color w:val="323130"/>
          <w:sz w:val="21"/>
          <w:szCs w:val="21"/>
        </w:rPr>
        <w:t xml:space="preserve">At best, the data </w:t>
      </w:r>
      <w:r w:rsidR="3E070B9E" w:rsidRPr="2912B56D">
        <w:rPr>
          <w:color w:val="323130"/>
          <w:sz w:val="21"/>
          <w:szCs w:val="21"/>
        </w:rPr>
        <w:t>suggests</w:t>
      </w:r>
      <w:r w:rsidRPr="2912B56D">
        <w:rPr>
          <w:color w:val="323130"/>
          <w:sz w:val="21"/>
          <w:szCs w:val="21"/>
        </w:rPr>
        <w:t xml:space="preserve"> a gradual upward trend in student proficiency. </w:t>
      </w:r>
      <w:r w:rsidR="00A20F2B" w:rsidRPr="2912B56D">
        <w:rPr>
          <w:color w:val="323130"/>
          <w:sz w:val="21"/>
          <w:szCs w:val="21"/>
        </w:rPr>
        <w:t>Quantitative Literacy, Critical Thinking, and Social Responsibility each show consistent declines in progressi</w:t>
      </w:r>
      <w:r w:rsidR="00043EDB" w:rsidRPr="2912B56D">
        <w:rPr>
          <w:color w:val="323130"/>
          <w:sz w:val="21"/>
          <w:szCs w:val="21"/>
        </w:rPr>
        <w:t>on</w:t>
      </w:r>
      <w:r w:rsidR="00A20F2B" w:rsidRPr="2912B56D">
        <w:rPr>
          <w:color w:val="323130"/>
          <w:sz w:val="21"/>
          <w:szCs w:val="21"/>
        </w:rPr>
        <w:t xml:space="preserve"> rates. </w:t>
      </w:r>
      <w:r w:rsidR="00050E2D" w:rsidRPr="2912B56D">
        <w:rPr>
          <w:color w:val="323130"/>
          <w:sz w:val="21"/>
          <w:szCs w:val="21"/>
        </w:rPr>
        <w:t xml:space="preserve">SLO </w:t>
      </w:r>
      <w:r w:rsidR="00A20F2B" w:rsidRPr="2912B56D">
        <w:rPr>
          <w:color w:val="323130"/>
          <w:sz w:val="21"/>
          <w:szCs w:val="21"/>
        </w:rPr>
        <w:t>Communication outcomes fluctuated, peaking in AY</w:t>
      </w:r>
      <w:r w:rsidR="00BD1A4F" w:rsidRPr="2912B56D">
        <w:rPr>
          <w:color w:val="323130"/>
          <w:sz w:val="21"/>
          <w:szCs w:val="21"/>
        </w:rPr>
        <w:t xml:space="preserve"> </w:t>
      </w:r>
      <w:r w:rsidR="00A20F2B" w:rsidRPr="2912B56D">
        <w:rPr>
          <w:color w:val="323130"/>
          <w:sz w:val="21"/>
          <w:szCs w:val="21"/>
        </w:rPr>
        <w:t xml:space="preserve">2024. Information Literacy and </w:t>
      </w:r>
      <w:r w:rsidR="001B5005" w:rsidRPr="2912B56D">
        <w:rPr>
          <w:color w:val="323130"/>
          <w:sz w:val="21"/>
          <w:szCs w:val="21"/>
        </w:rPr>
        <w:t>Information Processing</w:t>
      </w:r>
      <w:r w:rsidR="00A20F2B" w:rsidRPr="2912B56D">
        <w:rPr>
          <w:color w:val="323130"/>
          <w:sz w:val="21"/>
          <w:szCs w:val="21"/>
        </w:rPr>
        <w:t xml:space="preserve"> maintained moderate progressing levels</w:t>
      </w:r>
      <w:r w:rsidR="0006632D" w:rsidRPr="2912B56D">
        <w:rPr>
          <w:color w:val="323130"/>
          <w:sz w:val="21"/>
          <w:szCs w:val="21"/>
        </w:rPr>
        <w:t xml:space="preserve"> in AYs 2023 and 2025</w:t>
      </w:r>
      <w:r w:rsidR="00E32247" w:rsidRPr="2912B56D">
        <w:rPr>
          <w:color w:val="323130"/>
          <w:sz w:val="21"/>
          <w:szCs w:val="21"/>
        </w:rPr>
        <w:t xml:space="preserve">. </w:t>
      </w:r>
      <w:r w:rsidR="00A20F2B" w:rsidRPr="2912B56D">
        <w:rPr>
          <w:color w:val="323130"/>
          <w:sz w:val="21"/>
          <w:szCs w:val="21"/>
        </w:rPr>
        <w:t xml:space="preserve">Personal Responsibility </w:t>
      </w:r>
      <w:r w:rsidR="0006632D" w:rsidRPr="2912B56D">
        <w:rPr>
          <w:color w:val="323130"/>
          <w:sz w:val="21"/>
          <w:szCs w:val="21"/>
        </w:rPr>
        <w:t>remained</w:t>
      </w:r>
      <w:r w:rsidR="00A20F2B" w:rsidRPr="2912B56D">
        <w:rPr>
          <w:color w:val="323130"/>
          <w:sz w:val="21"/>
          <w:szCs w:val="21"/>
        </w:rPr>
        <w:t xml:space="preserve"> low, </w:t>
      </w:r>
      <w:r w:rsidR="00E32247" w:rsidRPr="2912B56D">
        <w:rPr>
          <w:color w:val="323130"/>
          <w:sz w:val="21"/>
          <w:szCs w:val="21"/>
        </w:rPr>
        <w:t xml:space="preserve">but </w:t>
      </w:r>
      <w:r w:rsidR="000C1F2A" w:rsidRPr="2912B56D">
        <w:rPr>
          <w:color w:val="323130"/>
          <w:sz w:val="21"/>
          <w:szCs w:val="21"/>
        </w:rPr>
        <w:t xml:space="preserve">this is to be expected with </w:t>
      </w:r>
      <w:r w:rsidR="00E32247" w:rsidRPr="2912B56D">
        <w:rPr>
          <w:color w:val="323130"/>
          <w:sz w:val="21"/>
          <w:szCs w:val="21"/>
        </w:rPr>
        <w:t xml:space="preserve">a </w:t>
      </w:r>
      <w:r w:rsidR="00A20F2B" w:rsidRPr="2912B56D">
        <w:rPr>
          <w:color w:val="323130"/>
          <w:sz w:val="21"/>
          <w:szCs w:val="21"/>
        </w:rPr>
        <w:t xml:space="preserve">sustained high </w:t>
      </w:r>
      <w:r w:rsidR="000C1F2A" w:rsidRPr="2912B56D">
        <w:rPr>
          <w:color w:val="323130"/>
          <w:sz w:val="21"/>
          <w:szCs w:val="21"/>
        </w:rPr>
        <w:t xml:space="preserve">level of </w:t>
      </w:r>
      <w:r w:rsidR="00A20F2B" w:rsidRPr="2912B56D">
        <w:rPr>
          <w:color w:val="323130"/>
          <w:sz w:val="21"/>
          <w:szCs w:val="21"/>
        </w:rPr>
        <w:t xml:space="preserve">mastery </w:t>
      </w:r>
      <w:r w:rsidR="000C1F2A" w:rsidRPr="2912B56D">
        <w:rPr>
          <w:color w:val="323130"/>
          <w:sz w:val="21"/>
          <w:szCs w:val="21"/>
        </w:rPr>
        <w:t>on this outcome</w:t>
      </w:r>
      <w:r w:rsidR="00A20F2B" w:rsidRPr="2912B56D">
        <w:rPr>
          <w:color w:val="323130"/>
          <w:sz w:val="21"/>
          <w:szCs w:val="21"/>
        </w:rPr>
        <w:t>.</w:t>
      </w:r>
    </w:p>
    <w:p w14:paraId="166859E6" w14:textId="5113538D" w:rsidR="00834989" w:rsidRPr="004E00B6" w:rsidRDefault="00834989" w:rsidP="00A20F2B">
      <w:pPr>
        <w:rPr>
          <w:rFonts w:asciiTheme="majorHAnsi" w:eastAsiaTheme="majorEastAsia" w:hAnsiTheme="majorHAnsi" w:cstheme="majorBidi"/>
          <w:b/>
          <w:bCs/>
          <w:color w:val="2F5496" w:themeColor="accent1" w:themeShade="BF"/>
          <w:sz w:val="32"/>
          <w:szCs w:val="32"/>
        </w:rPr>
      </w:pPr>
      <w:r w:rsidRPr="004E00B6">
        <w:rPr>
          <w:b/>
          <w:bCs/>
        </w:rPr>
        <w:br w:type="page"/>
      </w:r>
    </w:p>
    <w:p w14:paraId="6A5B33B2" w14:textId="12C7CF4C" w:rsidR="00E00BF9" w:rsidRPr="00062D34" w:rsidRDefault="0E46951C" w:rsidP="26E9DF75">
      <w:pPr>
        <w:pStyle w:val="Heading1"/>
        <w:rPr>
          <w:rFonts w:eastAsiaTheme="minorEastAsia"/>
        </w:rPr>
      </w:pPr>
      <w:bookmarkStart w:id="19" w:name="_Toc116420072"/>
      <w:r>
        <w:lastRenderedPageBreak/>
        <w:t>Significant Assessment Findings</w:t>
      </w:r>
      <w:bookmarkEnd w:id="19"/>
    </w:p>
    <w:p w14:paraId="08ED1E41" w14:textId="0BAE5632" w:rsidR="00E71FD3" w:rsidRPr="009E4732" w:rsidRDefault="00E71FD3" w:rsidP="00E71FD3">
      <w:pPr>
        <w:spacing w:after="0" w:line="240" w:lineRule="auto"/>
        <w:rPr>
          <w:rFonts w:eastAsia="Times New Roman" w:cstheme="minorHAnsi"/>
          <w:b/>
          <w:bCs/>
          <w:sz w:val="24"/>
          <w:szCs w:val="24"/>
        </w:rPr>
      </w:pPr>
    </w:p>
    <w:p w14:paraId="42C8333C" w14:textId="02E2BEA9" w:rsidR="00F3195E" w:rsidRDefault="163AE7A1" w:rsidP="0945F12E">
      <w:pPr>
        <w:spacing w:after="0" w:line="240" w:lineRule="auto"/>
        <w:rPr>
          <w:rFonts w:eastAsia="Times New Roman"/>
          <w:sz w:val="24"/>
          <w:szCs w:val="24"/>
        </w:rPr>
      </w:pPr>
      <w:r w:rsidRPr="0945F12E">
        <w:rPr>
          <w:rFonts w:eastAsia="Times New Roman"/>
          <w:sz w:val="24"/>
          <w:szCs w:val="24"/>
        </w:rPr>
        <w:t xml:space="preserve">Through the Program Review cycle, departments report on assessment data and significant findings each year.  </w:t>
      </w:r>
      <w:r w:rsidR="03F75BC6" w:rsidRPr="0945F12E">
        <w:rPr>
          <w:rFonts w:eastAsia="Times New Roman"/>
          <w:sz w:val="24"/>
          <w:szCs w:val="24"/>
        </w:rPr>
        <w:t xml:space="preserve">The </w:t>
      </w:r>
      <w:r w:rsidR="21C3C8C5" w:rsidRPr="0945F12E">
        <w:rPr>
          <w:rFonts w:eastAsia="Times New Roman"/>
          <w:sz w:val="24"/>
          <w:szCs w:val="24"/>
        </w:rPr>
        <w:t xml:space="preserve">examples </w:t>
      </w:r>
      <w:r w:rsidRPr="0945F12E">
        <w:rPr>
          <w:rFonts w:eastAsia="Times New Roman"/>
          <w:sz w:val="24"/>
          <w:szCs w:val="24"/>
        </w:rPr>
        <w:t>below reveal some of the curricular decisions programs made based on assessment results</w:t>
      </w:r>
      <w:r w:rsidR="36EEEFFB" w:rsidRPr="0945F12E">
        <w:rPr>
          <w:rFonts w:eastAsia="Times New Roman"/>
          <w:sz w:val="24"/>
          <w:szCs w:val="24"/>
        </w:rPr>
        <w:t>. Identifying information has been deleted from the narratives</w:t>
      </w:r>
      <w:r w:rsidR="51082BCA" w:rsidRPr="0945F12E">
        <w:rPr>
          <w:rFonts w:eastAsia="Times New Roman"/>
          <w:sz w:val="24"/>
          <w:szCs w:val="24"/>
        </w:rPr>
        <w:t>.</w:t>
      </w:r>
    </w:p>
    <w:p w14:paraId="68BE74AD" w14:textId="5DE8FE6B" w:rsidR="0945F12E" w:rsidRDefault="0945F12E" w:rsidP="0945F12E">
      <w:pPr>
        <w:spacing w:after="0" w:line="240" w:lineRule="auto"/>
        <w:rPr>
          <w:rFonts w:eastAsia="Times New Roman"/>
          <w:sz w:val="24"/>
          <w:szCs w:val="24"/>
        </w:rPr>
      </w:pPr>
    </w:p>
    <w:p w14:paraId="404DCEDA" w14:textId="09BBC068" w:rsidR="3D6C3612" w:rsidRDefault="5A5A20C7" w:rsidP="0945F12E">
      <w:pPr>
        <w:rPr>
          <w:rFonts w:eastAsia="Times New Roman"/>
          <w:b/>
          <w:bCs/>
          <w:sz w:val="24"/>
          <w:szCs w:val="24"/>
        </w:rPr>
      </w:pPr>
      <w:r w:rsidRPr="0945F12E">
        <w:rPr>
          <w:rFonts w:eastAsia="Times New Roman"/>
          <w:b/>
          <w:bCs/>
          <w:sz w:val="24"/>
          <w:szCs w:val="24"/>
        </w:rPr>
        <w:t>Example One:</w:t>
      </w:r>
    </w:p>
    <w:p w14:paraId="69193DEC" w14:textId="39EAAA4B" w:rsidR="3D6C3612" w:rsidRDefault="77482394" w:rsidP="0945F12E">
      <w:pPr>
        <w:rPr>
          <w:rFonts w:ascii="Calibri" w:eastAsia="Times New Roman" w:hAnsi="Calibri" w:cs="Arial"/>
          <w:sz w:val="24"/>
          <w:szCs w:val="24"/>
        </w:rPr>
      </w:pPr>
      <w:r w:rsidRPr="0945F12E">
        <w:rPr>
          <w:rFonts w:ascii="Calibri" w:eastAsia="Times New Roman" w:hAnsi="Calibri" w:cs="Arial"/>
          <w:sz w:val="24"/>
          <w:szCs w:val="24"/>
        </w:rPr>
        <w:t>The data we collect for this assessment frequently shows a reverse bell pattern. We have many students who are able to demonstrate a strong understanding of working with HTML and CSS to build responsive navigation. There are a few students who might understand pieces of HTML and CSS, but we are unable to work with the media queries, but usually students who understand the underlying fundamentals end up being able to do well within this assessment. The students who have low or no mastery have a tendency to not only do poorly with media queries, but they struggle with HTML and CSS as well. Over the years we have looked at the data to think about ways that we could try to scaffold this experience better. One thing we tried recently with our data was to remove students from the data that were getting automatic failures on the assessment by not turning in the project. Even with the removal of those students the ones who tend to miss this assessment are the ones that fall behind in the course work and stop turning in work.</w:t>
      </w:r>
      <w:r w:rsidR="3D6C3612">
        <w:br/>
      </w:r>
      <w:r w:rsidR="3D6C3612">
        <w:br/>
      </w:r>
      <w:r w:rsidRPr="0945F12E">
        <w:rPr>
          <w:rFonts w:ascii="Calibri" w:eastAsia="Times New Roman" w:hAnsi="Calibri" w:cs="Arial"/>
          <w:sz w:val="24"/>
          <w:szCs w:val="24"/>
        </w:rPr>
        <w:t>In the department we have discussed why we think students do poorly in the class overall and one of the main contributors we feel is students coming into the class with poor prior knowledge of computer basics. These students are not understanding the basics of file management or working with documents so when they are asked to code they often get overwhelmed in everything that is being asked. We have considered tailoring the curriculum to provide more time for covering file management, but there is not enough time in this course to do so. We have also discussed potentially having students test into the program or take a basic computer elective. We are concerned that by doing that the majority of the students in the program would needlessly be pushed further back in their graduation timeline.</w:t>
      </w:r>
      <w:r w:rsidR="3D6C3612">
        <w:br/>
      </w:r>
      <w:r w:rsidR="3D6C3612">
        <w:br/>
      </w:r>
      <w:r w:rsidRPr="0945F12E">
        <w:rPr>
          <w:rFonts w:ascii="Calibri" w:eastAsia="Times New Roman" w:hAnsi="Calibri" w:cs="Arial"/>
          <w:sz w:val="24"/>
          <w:szCs w:val="24"/>
        </w:rPr>
        <w:t>Another solution we have come up with is to take one of the other fundamental courses, which covers professional skills, and to add necessary file management basics to that curriculum. If possible we would like to track how the success/completion of</w:t>
      </w:r>
      <w:r w:rsidR="364AA9B7" w:rsidRPr="0945F12E">
        <w:rPr>
          <w:rFonts w:ascii="Calibri" w:eastAsia="Times New Roman" w:hAnsi="Calibri" w:cs="Arial"/>
          <w:sz w:val="24"/>
          <w:szCs w:val="24"/>
        </w:rPr>
        <w:t xml:space="preserve"> this course</w:t>
      </w:r>
      <w:r w:rsidRPr="0945F12E">
        <w:rPr>
          <w:rFonts w:ascii="Calibri" w:eastAsia="Times New Roman" w:hAnsi="Calibri" w:cs="Arial"/>
          <w:sz w:val="24"/>
          <w:szCs w:val="24"/>
        </w:rPr>
        <w:t xml:space="preserve"> with those changes impacts student success. </w:t>
      </w:r>
    </w:p>
    <w:p w14:paraId="43151F75" w14:textId="5FFD7CA3" w:rsidR="3D6C3612" w:rsidRDefault="573EF7C0" w:rsidP="0945F12E">
      <w:pPr>
        <w:rPr>
          <w:rFonts w:ascii="Calibri" w:eastAsia="Times New Roman" w:hAnsi="Calibri" w:cs="Arial"/>
          <w:b/>
          <w:bCs/>
          <w:sz w:val="24"/>
          <w:szCs w:val="24"/>
        </w:rPr>
      </w:pPr>
      <w:r w:rsidRPr="0945F12E">
        <w:rPr>
          <w:rFonts w:ascii="Calibri" w:eastAsia="Times New Roman" w:hAnsi="Calibri" w:cs="Arial"/>
          <w:b/>
          <w:bCs/>
          <w:sz w:val="24"/>
          <w:szCs w:val="24"/>
        </w:rPr>
        <w:t>Example Two:</w:t>
      </w:r>
    </w:p>
    <w:p w14:paraId="53CC8B47" w14:textId="3D257F4D" w:rsidR="573EF7C0" w:rsidRDefault="573EF7C0" w:rsidP="0945F12E">
      <w:pPr>
        <w:rPr>
          <w:rFonts w:ascii="Calibri" w:eastAsia="Times New Roman" w:hAnsi="Calibri" w:cs="Arial"/>
          <w:sz w:val="24"/>
          <w:szCs w:val="24"/>
        </w:rPr>
      </w:pPr>
      <w:r w:rsidRPr="0AAA0FB5">
        <w:rPr>
          <w:rFonts w:ascii="Calibri" w:eastAsia="Times New Roman" w:hAnsi="Calibri" w:cs="Arial"/>
          <w:sz w:val="24"/>
          <w:szCs w:val="24"/>
        </w:rPr>
        <w:t>We administered a pilot, summative assessment for all</w:t>
      </w:r>
      <w:r w:rsidR="354C440B" w:rsidRPr="0AAA0FB5">
        <w:rPr>
          <w:rFonts w:ascii="Calibri" w:eastAsia="Times New Roman" w:hAnsi="Calibri" w:cs="Arial"/>
          <w:sz w:val="24"/>
          <w:szCs w:val="24"/>
        </w:rPr>
        <w:t xml:space="preserve"> relevant</w:t>
      </w:r>
      <w:r w:rsidRPr="0AAA0FB5">
        <w:rPr>
          <w:rFonts w:ascii="Calibri" w:eastAsia="Times New Roman" w:hAnsi="Calibri" w:cs="Arial"/>
          <w:sz w:val="24"/>
          <w:szCs w:val="24"/>
        </w:rPr>
        <w:t xml:space="preserve"> courses taught by full-time faculty during the last two weeks of the Fall 2024 semester. A total of 19 sections with 365 enrolled students were asked to complete the </w:t>
      </w:r>
      <w:r w:rsidR="23E11973" w:rsidRPr="0AAA0FB5">
        <w:rPr>
          <w:rFonts w:ascii="Calibri" w:eastAsia="Times New Roman" w:hAnsi="Calibri" w:cs="Arial"/>
          <w:sz w:val="24"/>
          <w:szCs w:val="24"/>
        </w:rPr>
        <w:t>instrument,</w:t>
      </w:r>
      <w:r w:rsidRPr="0AAA0FB5">
        <w:rPr>
          <w:rFonts w:ascii="Calibri" w:eastAsia="Times New Roman" w:hAnsi="Calibri" w:cs="Arial"/>
          <w:sz w:val="24"/>
          <w:szCs w:val="24"/>
        </w:rPr>
        <w:t xml:space="preserve"> and results were reported by instructors via an anonymous survey. A total of 314 students completed the assessment. We </w:t>
      </w:r>
      <w:r w:rsidRPr="0AAA0FB5">
        <w:rPr>
          <w:rFonts w:ascii="Calibri" w:eastAsia="Times New Roman" w:hAnsi="Calibri" w:cs="Arial"/>
          <w:sz w:val="24"/>
          <w:szCs w:val="24"/>
        </w:rPr>
        <w:lastRenderedPageBreak/>
        <w:t>are satisfied with the 86% response rate, however; would like to see this number increase to 90% or higher on the next data collection.</w:t>
      </w:r>
      <w:r>
        <w:br/>
      </w:r>
      <w:r>
        <w:br/>
      </w:r>
      <w:r w:rsidRPr="0AAA0FB5">
        <w:rPr>
          <w:rFonts w:ascii="Calibri" w:eastAsia="Times New Roman" w:hAnsi="Calibri" w:cs="Arial"/>
          <w:sz w:val="24"/>
          <w:szCs w:val="24"/>
        </w:rPr>
        <w:t xml:space="preserve">Overall, the vast majority (82.2%) of our students attained a mastery level on this instrument by </w:t>
      </w:r>
      <w:r w:rsidR="5301EDDA" w:rsidRPr="0AAA0FB5">
        <w:rPr>
          <w:rFonts w:ascii="Calibri" w:eastAsia="Times New Roman" w:hAnsi="Calibri" w:cs="Arial"/>
          <w:sz w:val="24"/>
          <w:szCs w:val="24"/>
        </w:rPr>
        <w:t>a</w:t>
      </w:r>
      <w:r w:rsidRPr="0AAA0FB5">
        <w:rPr>
          <w:rFonts w:ascii="Calibri" w:eastAsia="Times New Roman" w:hAnsi="Calibri" w:cs="Arial"/>
          <w:sz w:val="24"/>
          <w:szCs w:val="24"/>
        </w:rPr>
        <w:t xml:space="preserve">nswering 7/8 or 8/8 questions correctly. This high rate of mastery is logical because the instrument questions were written at a Level 1: Remembering/Recalling on Bloom’s Taxonomy and should be the easiest for our students to obtain. However, mastery levels by modality showed some slight differences. The face-to-face modality courses had the lowest level at 75.7%; followed by Online Hybrid/Hybrid modalities at 82.5%; and ending with the online modality at 93.7%. There are several reasons this could have occurred including the nature of student enrolled in these different modalities, pedagogical differences, variations with how the instrument was administered, and number of students assessed. This is an area we would like to look at more closely in a future analysis. </w:t>
      </w:r>
      <w:r>
        <w:br/>
      </w:r>
      <w:r>
        <w:br/>
      </w:r>
      <w:r w:rsidRPr="0AAA0FB5">
        <w:rPr>
          <w:rFonts w:ascii="Calibri" w:eastAsia="Times New Roman" w:hAnsi="Calibri" w:cs="Arial"/>
          <w:sz w:val="24"/>
          <w:szCs w:val="24"/>
        </w:rPr>
        <w:t xml:space="preserve">Analysis of results on individual questions showed the lowest success rate on Question 1, which assessed Objective 1: Identify the fundamental elements of the communication process. We think this question had the lowest success rate for two possible reasons. First, we need to look more closely at the question to ensure there was no confusion regarding its construction. Second, there seems to be a trend that students were more and more successful with each question as they progressed. Question 1 may have had the lowest success rate because of the time that lapsed between the concept being learned at the beginning of the semester to the time in which the instrument was administered. </w:t>
      </w:r>
      <w:r>
        <w:br/>
      </w:r>
      <w:r>
        <w:br/>
      </w:r>
      <w:r w:rsidRPr="0AAA0FB5">
        <w:rPr>
          <w:rFonts w:ascii="Calibri" w:eastAsia="Times New Roman" w:hAnsi="Calibri" w:cs="Arial"/>
          <w:sz w:val="24"/>
          <w:szCs w:val="24"/>
        </w:rPr>
        <w:t>Overall, we are pleased with the results of this pilot summative assessment and think our students performed well to the standard we set. Moving forward due to adopting an Open Educational Resource (OER) for this course in Spring 2025, we will adjust the language of the instrument to match this current text. We plan to administer the slightly modified new instrument in the Fall 2025 semester to all sections regardless of instructor type. We are waiting until the Fall 2025 semester to give all our instructors time to adjust to this new text to ensure we are collecting accurate data. If the Fall 2025 results are similar to these results, we will consider constructing a new, more rigorous instrument assessing students at Level 2: Understanding/Explaining.</w:t>
      </w:r>
    </w:p>
    <w:p w14:paraId="0D76396B" w14:textId="0D56FF20" w:rsidR="002C4403" w:rsidRPr="00DC3DE9" w:rsidRDefault="002C4403">
      <w:pPr>
        <w:rPr>
          <w:rFonts w:eastAsia="Times New Roman" w:cstheme="minorHAnsi"/>
          <w:b/>
          <w:bCs/>
          <w:sz w:val="24"/>
          <w:szCs w:val="24"/>
        </w:rPr>
      </w:pPr>
      <w:r>
        <w:rPr>
          <w:rFonts w:cstheme="minorHAnsi"/>
          <w:b/>
          <w:bCs/>
          <w:sz w:val="28"/>
          <w:szCs w:val="28"/>
        </w:rPr>
        <w:br w:type="page"/>
      </w:r>
    </w:p>
    <w:p w14:paraId="5CF024CB" w14:textId="199B27F5" w:rsidR="00FC2C7D" w:rsidRDefault="7B8D68D7" w:rsidP="002C4403">
      <w:pPr>
        <w:pStyle w:val="Heading1"/>
      </w:pPr>
      <w:bookmarkStart w:id="20" w:name="_Toc995963344"/>
      <w:r>
        <w:lastRenderedPageBreak/>
        <w:t>Summary</w:t>
      </w:r>
      <w:r w:rsidR="5326467D">
        <w:t xml:space="preserve"> and Recommendations</w:t>
      </w:r>
      <w:bookmarkEnd w:id="20"/>
    </w:p>
    <w:p w14:paraId="20E40016" w14:textId="348E1AFE" w:rsidR="00FC2C7D" w:rsidRDefault="5326467D" w:rsidP="0945F12E">
      <w:pPr>
        <w:spacing w:line="276" w:lineRule="auto"/>
        <w:rPr>
          <w:rFonts w:eastAsiaTheme="minorEastAsia"/>
          <w:color w:val="000000" w:themeColor="text1"/>
          <w:sz w:val="24"/>
          <w:szCs w:val="24"/>
        </w:rPr>
      </w:pPr>
      <w:r w:rsidRPr="0945F12E">
        <w:rPr>
          <w:rFonts w:eastAsiaTheme="minorEastAsia"/>
          <w:color w:val="000000" w:themeColor="text1"/>
          <w:sz w:val="24"/>
          <w:szCs w:val="24"/>
        </w:rPr>
        <w:t>The 2025 reporting cycle reflects substantial growth in institutional engagement with assessment. Overall submission rates reached 54 percent, a 20 percent increase from the prior year, indicating a positive trend toward broader faculty participation and more substantial alignment with institutional learning priorities.</w:t>
      </w:r>
    </w:p>
    <w:p w14:paraId="11B548D3" w14:textId="7EBEBAC3" w:rsidR="00FC2C7D" w:rsidRDefault="5326467D" w:rsidP="0945F12E">
      <w:pPr>
        <w:spacing w:line="276" w:lineRule="auto"/>
        <w:rPr>
          <w:rFonts w:eastAsiaTheme="minorEastAsia"/>
          <w:color w:val="000000" w:themeColor="text1"/>
          <w:sz w:val="24"/>
          <w:szCs w:val="24"/>
        </w:rPr>
      </w:pPr>
      <w:r w:rsidRPr="0945F12E">
        <w:rPr>
          <w:rFonts w:eastAsiaTheme="minorEastAsia"/>
          <w:color w:val="000000" w:themeColor="text1"/>
          <w:sz w:val="24"/>
          <w:szCs w:val="24"/>
        </w:rPr>
        <w:t>The data reveal an institution maturing in its assessment practices… moving from compliance toward meaningful reflection and improvement. The 2025 results show improvement in participation, coverage, and clarity, but also point to the continued need for coherence, methodological consistency, and integration of assessment results into planning and resource allocation.</w:t>
      </w:r>
    </w:p>
    <w:p w14:paraId="43DDAB1E" w14:textId="0AEA7682" w:rsidR="00FC2C7D" w:rsidRDefault="5326467D" w:rsidP="0945F12E">
      <w:pPr>
        <w:spacing w:line="276" w:lineRule="auto"/>
        <w:rPr>
          <w:rFonts w:eastAsiaTheme="minorEastAsia"/>
          <w:color w:val="000000" w:themeColor="text1"/>
          <w:sz w:val="24"/>
          <w:szCs w:val="24"/>
        </w:rPr>
      </w:pPr>
      <w:r w:rsidRPr="0945F12E">
        <w:rPr>
          <w:rFonts w:eastAsiaTheme="minorEastAsia"/>
          <w:color w:val="000000" w:themeColor="text1"/>
          <w:sz w:val="24"/>
          <w:szCs w:val="24"/>
        </w:rPr>
        <w:t>Consequently, the Assessment Committee and AEIO Office make the following recommendations:</w:t>
      </w:r>
    </w:p>
    <w:p w14:paraId="6A5DE8F1" w14:textId="5A7B9503" w:rsidR="00FC2C7D" w:rsidRDefault="5326467D" w:rsidP="0945F12E">
      <w:pPr>
        <w:spacing w:line="276" w:lineRule="auto"/>
        <w:contextualSpacing/>
        <w:rPr>
          <w:rFonts w:eastAsiaTheme="minorEastAsia"/>
          <w:color w:val="000000" w:themeColor="text1"/>
          <w:sz w:val="24"/>
          <w:szCs w:val="24"/>
        </w:rPr>
      </w:pPr>
      <w:r w:rsidRPr="0945F12E">
        <w:rPr>
          <w:rFonts w:eastAsiaTheme="minorEastAsia"/>
          <w:b/>
          <w:bCs/>
          <w:color w:val="000000" w:themeColor="text1"/>
          <w:sz w:val="24"/>
          <w:szCs w:val="24"/>
        </w:rPr>
        <w:t>Standardize Assessment Practices</w:t>
      </w:r>
    </w:p>
    <w:p w14:paraId="265322CA" w14:textId="2AADFCF2" w:rsidR="00FC2C7D" w:rsidRDefault="29DE8971" w:rsidP="0945F12E">
      <w:pPr>
        <w:spacing w:line="276" w:lineRule="auto"/>
        <w:contextualSpacing/>
        <w:rPr>
          <w:rFonts w:eastAsiaTheme="minorEastAsia"/>
          <w:color w:val="000000" w:themeColor="text1"/>
          <w:sz w:val="24"/>
          <w:szCs w:val="24"/>
        </w:rPr>
      </w:pPr>
      <w:r w:rsidRPr="0945F12E">
        <w:rPr>
          <w:rFonts w:eastAsiaTheme="minorEastAsia"/>
          <w:color w:val="000000" w:themeColor="text1"/>
          <w:sz w:val="24"/>
          <w:szCs w:val="24"/>
        </w:rPr>
        <w:t xml:space="preserve">Institute </w:t>
      </w:r>
      <w:r w:rsidR="5326467D" w:rsidRPr="0945F12E">
        <w:rPr>
          <w:rFonts w:eastAsiaTheme="minorEastAsia"/>
          <w:color w:val="000000" w:themeColor="text1"/>
          <w:sz w:val="24"/>
          <w:szCs w:val="24"/>
        </w:rPr>
        <w:t>a common framework for submitting SLO and ILO data. Using a standard intake process, like the JCCC Assessment Data Submission Form or Canvas, would provide the controls necessary to standardize analysis.</w:t>
      </w:r>
    </w:p>
    <w:p w14:paraId="3B7D9B1F" w14:textId="404C9C0B" w:rsidR="00FC2C7D" w:rsidRDefault="00FC2C7D" w:rsidP="0945F12E">
      <w:pPr>
        <w:spacing w:line="276" w:lineRule="auto"/>
        <w:contextualSpacing/>
        <w:rPr>
          <w:rFonts w:eastAsiaTheme="minorEastAsia"/>
          <w:color w:val="000000" w:themeColor="text1"/>
          <w:sz w:val="24"/>
          <w:szCs w:val="24"/>
        </w:rPr>
      </w:pPr>
    </w:p>
    <w:p w14:paraId="1395C8A9" w14:textId="63AD0220" w:rsidR="00FC2C7D" w:rsidRDefault="5326467D" w:rsidP="0945F12E">
      <w:pPr>
        <w:spacing w:line="276" w:lineRule="auto"/>
        <w:contextualSpacing/>
        <w:rPr>
          <w:rFonts w:eastAsiaTheme="minorEastAsia"/>
          <w:b/>
          <w:bCs/>
          <w:color w:val="000000" w:themeColor="text1"/>
          <w:sz w:val="24"/>
          <w:szCs w:val="24"/>
        </w:rPr>
      </w:pPr>
      <w:r w:rsidRPr="0945F12E">
        <w:rPr>
          <w:rFonts w:eastAsiaTheme="minorEastAsia"/>
          <w:b/>
          <w:bCs/>
          <w:color w:val="000000" w:themeColor="text1"/>
          <w:sz w:val="24"/>
          <w:szCs w:val="24"/>
        </w:rPr>
        <w:t>Expand Assessment Coverage Across Outcomes</w:t>
      </w:r>
    </w:p>
    <w:p w14:paraId="578659FC" w14:textId="277DDCDC" w:rsidR="00FC2C7D" w:rsidRDefault="5326467D" w:rsidP="0945F12E">
      <w:pPr>
        <w:spacing w:line="276" w:lineRule="auto"/>
        <w:contextualSpacing/>
        <w:rPr>
          <w:rFonts w:eastAsiaTheme="minorEastAsia"/>
          <w:color w:val="000000" w:themeColor="text1"/>
          <w:sz w:val="24"/>
          <w:szCs w:val="24"/>
        </w:rPr>
      </w:pPr>
      <w:r w:rsidRPr="0945F12E">
        <w:rPr>
          <w:rFonts w:eastAsiaTheme="minorEastAsia"/>
          <w:color w:val="000000" w:themeColor="text1"/>
          <w:sz w:val="24"/>
          <w:szCs w:val="24"/>
        </w:rPr>
        <w:t>Prioritize increasing participation in underrepresented outcomes like Problem Solving and Human Experience within General Education, ensuring a more balanced distribution of evidence across all outcomes.</w:t>
      </w:r>
    </w:p>
    <w:p w14:paraId="7B9B6743" w14:textId="21F859F2" w:rsidR="00FC2C7D" w:rsidRDefault="00FC2C7D" w:rsidP="0945F12E">
      <w:pPr>
        <w:spacing w:line="276" w:lineRule="auto"/>
        <w:contextualSpacing/>
        <w:rPr>
          <w:rFonts w:eastAsiaTheme="minorEastAsia"/>
          <w:color w:val="000000" w:themeColor="text1"/>
          <w:sz w:val="24"/>
          <w:szCs w:val="24"/>
        </w:rPr>
      </w:pPr>
    </w:p>
    <w:p w14:paraId="3D5AF3B6" w14:textId="2BFB9553" w:rsidR="00FC2C7D" w:rsidRDefault="5326467D" w:rsidP="0945F12E">
      <w:pPr>
        <w:spacing w:line="276" w:lineRule="auto"/>
        <w:contextualSpacing/>
        <w:rPr>
          <w:rFonts w:eastAsiaTheme="minorEastAsia"/>
          <w:b/>
          <w:bCs/>
          <w:color w:val="000000" w:themeColor="text1"/>
          <w:sz w:val="24"/>
          <w:szCs w:val="24"/>
        </w:rPr>
      </w:pPr>
      <w:r w:rsidRPr="0945F12E">
        <w:rPr>
          <w:rFonts w:eastAsiaTheme="minorEastAsia"/>
          <w:b/>
          <w:bCs/>
          <w:color w:val="000000" w:themeColor="text1"/>
          <w:sz w:val="24"/>
          <w:szCs w:val="24"/>
        </w:rPr>
        <w:t>Enhance Faculty Development and Feedback Loops</w:t>
      </w:r>
    </w:p>
    <w:p w14:paraId="69E52320" w14:textId="1A6553A9" w:rsidR="00FC2C7D" w:rsidRDefault="5326467D" w:rsidP="0945F12E">
      <w:pPr>
        <w:spacing w:line="276" w:lineRule="auto"/>
        <w:contextualSpacing/>
        <w:rPr>
          <w:rFonts w:eastAsiaTheme="minorEastAsia"/>
          <w:color w:val="000000" w:themeColor="text1"/>
          <w:sz w:val="24"/>
          <w:szCs w:val="24"/>
        </w:rPr>
      </w:pPr>
      <w:r w:rsidRPr="0945F12E">
        <w:rPr>
          <w:rFonts w:eastAsiaTheme="minorEastAsia"/>
          <w:color w:val="000000" w:themeColor="text1"/>
          <w:sz w:val="24"/>
          <w:szCs w:val="24"/>
        </w:rPr>
        <w:t>Provide structured professional development on interpreting and using assessment data, emphasizing diagnostic approaches and actionable loop-closing reflections. Consider exemplar or peer-review models to enhance the quality of submissions.</w:t>
      </w:r>
    </w:p>
    <w:p w14:paraId="21579918" w14:textId="23B2755A" w:rsidR="00FC2C7D" w:rsidRDefault="00FC2C7D" w:rsidP="0945F12E">
      <w:pPr>
        <w:spacing w:line="276" w:lineRule="auto"/>
        <w:contextualSpacing/>
        <w:rPr>
          <w:rFonts w:eastAsiaTheme="minorEastAsia"/>
          <w:color w:val="000000" w:themeColor="text1"/>
          <w:sz w:val="24"/>
          <w:szCs w:val="24"/>
        </w:rPr>
      </w:pPr>
    </w:p>
    <w:p w14:paraId="028E54CD" w14:textId="18268D3A" w:rsidR="00FC2C7D" w:rsidRDefault="5326467D" w:rsidP="0945F12E">
      <w:pPr>
        <w:spacing w:line="276" w:lineRule="auto"/>
        <w:contextualSpacing/>
        <w:rPr>
          <w:rFonts w:eastAsiaTheme="minorEastAsia"/>
          <w:b/>
          <w:bCs/>
          <w:color w:val="000000" w:themeColor="text1"/>
          <w:sz w:val="24"/>
          <w:szCs w:val="24"/>
        </w:rPr>
      </w:pPr>
      <w:r w:rsidRPr="0945F12E">
        <w:rPr>
          <w:rFonts w:eastAsiaTheme="minorEastAsia"/>
          <w:b/>
          <w:bCs/>
          <w:color w:val="000000" w:themeColor="text1"/>
          <w:sz w:val="24"/>
          <w:szCs w:val="24"/>
        </w:rPr>
        <w:t>Diversify Cognitive Assessment Levels</w:t>
      </w:r>
    </w:p>
    <w:p w14:paraId="211F7077" w14:textId="55902975" w:rsidR="00FC2C7D" w:rsidRDefault="5326467D" w:rsidP="0945F12E">
      <w:pPr>
        <w:spacing w:line="276" w:lineRule="auto"/>
        <w:contextualSpacing/>
        <w:rPr>
          <w:rFonts w:eastAsiaTheme="minorEastAsia"/>
          <w:color w:val="000000" w:themeColor="text1"/>
          <w:sz w:val="24"/>
          <w:szCs w:val="24"/>
        </w:rPr>
      </w:pPr>
      <w:r w:rsidRPr="0945F12E">
        <w:rPr>
          <w:rFonts w:eastAsiaTheme="minorEastAsia"/>
          <w:color w:val="000000" w:themeColor="text1"/>
          <w:sz w:val="24"/>
          <w:szCs w:val="24"/>
        </w:rPr>
        <w:t>Encourage faculty to create assessments that cover the entire spectrum of Bloom’s taxonomy, balancing basic understanding with analytical and creative tasks to capture a broader view of student learning.</w:t>
      </w:r>
    </w:p>
    <w:p w14:paraId="5DC59FE6" w14:textId="3B0BCD0D" w:rsidR="00FC2C7D" w:rsidRDefault="00FC2C7D" w:rsidP="0945F12E">
      <w:pPr>
        <w:spacing w:line="276" w:lineRule="auto"/>
        <w:contextualSpacing/>
        <w:rPr>
          <w:rFonts w:eastAsiaTheme="minorEastAsia"/>
          <w:color w:val="000000" w:themeColor="text1"/>
          <w:sz w:val="24"/>
          <w:szCs w:val="24"/>
        </w:rPr>
      </w:pPr>
    </w:p>
    <w:p w14:paraId="5CB07793" w14:textId="06C140B6" w:rsidR="00FC2C7D" w:rsidRDefault="5326467D" w:rsidP="0945F12E">
      <w:pPr>
        <w:spacing w:line="276" w:lineRule="auto"/>
        <w:contextualSpacing/>
        <w:rPr>
          <w:rFonts w:eastAsiaTheme="minorEastAsia"/>
          <w:b/>
          <w:bCs/>
          <w:color w:val="000000" w:themeColor="text1"/>
          <w:sz w:val="24"/>
          <w:szCs w:val="24"/>
        </w:rPr>
      </w:pPr>
      <w:r w:rsidRPr="0945F12E">
        <w:rPr>
          <w:rFonts w:eastAsiaTheme="minorEastAsia"/>
          <w:b/>
          <w:bCs/>
          <w:color w:val="000000" w:themeColor="text1"/>
          <w:sz w:val="24"/>
          <w:szCs w:val="24"/>
        </w:rPr>
        <w:t>Monitor Longitudinal Trends and Institutional Learning Growth</w:t>
      </w:r>
    </w:p>
    <w:p w14:paraId="2B7DA3E0" w14:textId="550C8422" w:rsidR="00FC2C7D" w:rsidRDefault="5326467D" w:rsidP="0945F12E">
      <w:pPr>
        <w:spacing w:line="276" w:lineRule="auto"/>
        <w:contextualSpacing/>
        <w:rPr>
          <w:rFonts w:eastAsiaTheme="minorEastAsia"/>
          <w:color w:val="000000" w:themeColor="text1"/>
          <w:sz w:val="24"/>
          <w:szCs w:val="24"/>
        </w:rPr>
      </w:pPr>
      <w:r w:rsidRPr="0945F12E">
        <w:rPr>
          <w:rFonts w:eastAsiaTheme="minorEastAsia"/>
          <w:color w:val="000000" w:themeColor="text1"/>
          <w:sz w:val="24"/>
          <w:szCs w:val="24"/>
        </w:rPr>
        <w:t>Explore opportunities for longitudinal tracking to better understand patterns of student development over time, beyond annual cohort comparisons.</w:t>
      </w:r>
    </w:p>
    <w:p w14:paraId="4ED24E92" w14:textId="679F1947" w:rsidR="00FC2C7D" w:rsidRDefault="00FC2C7D" w:rsidP="0945F12E">
      <w:pPr>
        <w:spacing w:line="276" w:lineRule="auto"/>
        <w:contextualSpacing/>
        <w:rPr>
          <w:rFonts w:eastAsiaTheme="minorEastAsia"/>
          <w:color w:val="000000" w:themeColor="text1"/>
          <w:sz w:val="24"/>
          <w:szCs w:val="24"/>
        </w:rPr>
      </w:pPr>
    </w:p>
    <w:p w14:paraId="5900F053" w14:textId="6006C7E5" w:rsidR="00FC2C7D" w:rsidRDefault="00FC2C7D" w:rsidP="0945F12E">
      <w:pPr>
        <w:rPr>
          <w:b/>
          <w:bCs/>
          <w:sz w:val="24"/>
          <w:szCs w:val="24"/>
        </w:rPr>
      </w:pPr>
    </w:p>
    <w:p w14:paraId="69AD4591" w14:textId="1B462FF6" w:rsidR="00FC2C7D" w:rsidRDefault="4DDFBD46" w:rsidP="0945F12E">
      <w:pPr>
        <w:rPr>
          <w:b/>
          <w:bCs/>
          <w:sz w:val="24"/>
          <w:szCs w:val="24"/>
        </w:rPr>
      </w:pPr>
      <w:r w:rsidRPr="0945F12E">
        <w:rPr>
          <w:b/>
          <w:bCs/>
          <w:sz w:val="24"/>
          <w:szCs w:val="24"/>
        </w:rPr>
        <w:t>Limitations</w:t>
      </w:r>
    </w:p>
    <w:p w14:paraId="07AA68EC" w14:textId="5C127D66" w:rsidR="00FC2C7D" w:rsidRDefault="4DDFBD46" w:rsidP="0945F12E">
      <w:pPr>
        <w:rPr>
          <w:rFonts w:ascii="Calibri" w:eastAsia="Calibri" w:hAnsi="Calibri" w:cs="Calibri"/>
          <w:sz w:val="24"/>
          <w:szCs w:val="24"/>
        </w:rPr>
      </w:pPr>
      <w:r w:rsidRPr="26E9DF75">
        <w:rPr>
          <w:sz w:val="24"/>
          <w:szCs w:val="24"/>
        </w:rPr>
        <w:t>Several key limitations constrain th</w:t>
      </w:r>
      <w:r w:rsidR="005C640F" w:rsidRPr="26E9DF75">
        <w:rPr>
          <w:sz w:val="24"/>
          <w:szCs w:val="24"/>
        </w:rPr>
        <w:t xml:space="preserve">e analysis and </w:t>
      </w:r>
      <w:r w:rsidRPr="26E9DF75">
        <w:rPr>
          <w:sz w:val="24"/>
          <w:szCs w:val="24"/>
        </w:rPr>
        <w:t xml:space="preserve">commentary in this report, except for the Significant Assessment Findings section, which presents firsthand </w:t>
      </w:r>
      <w:r w:rsidR="6BCDF857" w:rsidRPr="26E9DF75">
        <w:rPr>
          <w:sz w:val="24"/>
          <w:szCs w:val="24"/>
        </w:rPr>
        <w:t xml:space="preserve">reflection </w:t>
      </w:r>
      <w:r w:rsidRPr="26E9DF75">
        <w:rPr>
          <w:sz w:val="24"/>
          <w:szCs w:val="24"/>
        </w:rPr>
        <w:t xml:space="preserve">from faculty. First, individual students were not tracked over time, so the year-to-year differences observed </w:t>
      </w:r>
      <w:r w:rsidR="005C640F" w:rsidRPr="26E9DF75">
        <w:rPr>
          <w:sz w:val="24"/>
          <w:szCs w:val="24"/>
        </w:rPr>
        <w:t xml:space="preserve">are not </w:t>
      </w:r>
      <w:r w:rsidR="0009344F" w:rsidRPr="26E9DF75">
        <w:rPr>
          <w:sz w:val="24"/>
          <w:szCs w:val="24"/>
        </w:rPr>
        <w:t xml:space="preserve">indicative of </w:t>
      </w:r>
      <w:r w:rsidRPr="26E9DF75">
        <w:rPr>
          <w:sz w:val="24"/>
          <w:szCs w:val="24"/>
        </w:rPr>
        <w:t>student growt</w:t>
      </w:r>
      <w:r w:rsidR="00510BD4" w:rsidRPr="26E9DF75">
        <w:rPr>
          <w:sz w:val="24"/>
          <w:szCs w:val="24"/>
        </w:rPr>
        <w:t>h</w:t>
      </w:r>
      <w:r w:rsidRPr="26E9DF75">
        <w:rPr>
          <w:sz w:val="24"/>
          <w:szCs w:val="24"/>
        </w:rPr>
        <w:t xml:space="preserve">. The data reflect different cohorts rather than changes in development over time. Second, variations in methodology across departments create inconsistencies. Each area may differ in how it aligns assignments with learning outcomes, uses Bloom’s taxonomy levels, and interprets disciplinary expectations. These differences </w:t>
      </w:r>
      <w:r w:rsidR="008E7547" w:rsidRPr="26E9DF75">
        <w:rPr>
          <w:sz w:val="24"/>
          <w:szCs w:val="24"/>
        </w:rPr>
        <w:t xml:space="preserve">limit </w:t>
      </w:r>
      <w:r w:rsidRPr="26E9DF75">
        <w:rPr>
          <w:sz w:val="24"/>
          <w:szCs w:val="24"/>
        </w:rPr>
        <w:t>compar</w:t>
      </w:r>
      <w:r w:rsidR="00986494" w:rsidRPr="26E9DF75">
        <w:rPr>
          <w:sz w:val="24"/>
          <w:szCs w:val="24"/>
        </w:rPr>
        <w:t xml:space="preserve">isons </w:t>
      </w:r>
      <w:r w:rsidR="74923A52" w:rsidRPr="26E9DF75">
        <w:rPr>
          <w:sz w:val="24"/>
          <w:szCs w:val="24"/>
        </w:rPr>
        <w:t>and generalizations</w:t>
      </w:r>
      <w:r w:rsidR="00B91793" w:rsidRPr="26E9DF75">
        <w:rPr>
          <w:sz w:val="24"/>
          <w:szCs w:val="24"/>
        </w:rPr>
        <w:t xml:space="preserve"> of</w:t>
      </w:r>
      <w:r w:rsidRPr="26E9DF75">
        <w:rPr>
          <w:sz w:val="24"/>
          <w:szCs w:val="24"/>
        </w:rPr>
        <w:t xml:space="preserve"> the aggregated results. Third, no institution-wide standard or control ensures that data reported as measuring an Institutional or General Education Learning Outcome </w:t>
      </w:r>
      <w:r w:rsidR="00B04FAE" w:rsidRPr="26E9DF75">
        <w:rPr>
          <w:sz w:val="24"/>
          <w:szCs w:val="24"/>
        </w:rPr>
        <w:t>actually or consistently</w:t>
      </w:r>
      <w:r w:rsidRPr="26E9DF75">
        <w:rPr>
          <w:sz w:val="24"/>
          <w:szCs w:val="24"/>
        </w:rPr>
        <w:t xml:space="preserve"> </w:t>
      </w:r>
      <w:r w:rsidR="003A4E11" w:rsidRPr="26E9DF75">
        <w:rPr>
          <w:sz w:val="24"/>
          <w:szCs w:val="24"/>
        </w:rPr>
        <w:t>achieves this end</w:t>
      </w:r>
      <w:r w:rsidRPr="26E9DF75">
        <w:rPr>
          <w:sz w:val="24"/>
          <w:szCs w:val="24"/>
        </w:rPr>
        <w:t xml:space="preserve">. Faculty may submit data of varying quality or relevance, which is then combined </w:t>
      </w:r>
      <w:r w:rsidR="00B04FAE" w:rsidRPr="26E9DF75">
        <w:rPr>
          <w:sz w:val="24"/>
          <w:szCs w:val="24"/>
        </w:rPr>
        <w:t xml:space="preserve">with other like data </w:t>
      </w:r>
      <w:r w:rsidRPr="26E9DF75">
        <w:rPr>
          <w:sz w:val="24"/>
          <w:szCs w:val="24"/>
        </w:rPr>
        <w:t>without review. Lastly, all data are pooled across course levels, disciplines, and quality thresholds, producing institutional summaries that</w:t>
      </w:r>
      <w:r w:rsidR="00655805" w:rsidRPr="26E9DF75">
        <w:rPr>
          <w:sz w:val="24"/>
          <w:szCs w:val="24"/>
        </w:rPr>
        <w:t xml:space="preserve"> </w:t>
      </w:r>
      <w:r w:rsidRPr="26E9DF75">
        <w:rPr>
          <w:sz w:val="24"/>
          <w:szCs w:val="24"/>
        </w:rPr>
        <w:t>conceal underlying</w:t>
      </w:r>
      <w:r w:rsidR="00655805" w:rsidRPr="26E9DF75">
        <w:rPr>
          <w:sz w:val="24"/>
          <w:szCs w:val="24"/>
        </w:rPr>
        <w:t xml:space="preserve"> insights</w:t>
      </w:r>
      <w:r w:rsidRPr="26E9DF75">
        <w:rPr>
          <w:sz w:val="24"/>
          <w:szCs w:val="24"/>
        </w:rPr>
        <w:t>. Overall, t</w:t>
      </w:r>
      <w:r w:rsidR="000E2A2E" w:rsidRPr="26E9DF75">
        <w:rPr>
          <w:sz w:val="24"/>
          <w:szCs w:val="24"/>
        </w:rPr>
        <w:t>his report</w:t>
      </w:r>
      <w:r w:rsidRPr="26E9DF75">
        <w:rPr>
          <w:sz w:val="24"/>
          <w:szCs w:val="24"/>
        </w:rPr>
        <w:t xml:space="preserve"> should be viewed as </w:t>
      </w:r>
      <w:r w:rsidR="00BD646F" w:rsidRPr="26E9DF75">
        <w:rPr>
          <w:sz w:val="24"/>
          <w:szCs w:val="24"/>
        </w:rPr>
        <w:t xml:space="preserve">relaying </w:t>
      </w:r>
      <w:r w:rsidRPr="26E9DF75">
        <w:rPr>
          <w:sz w:val="24"/>
          <w:szCs w:val="24"/>
        </w:rPr>
        <w:t>broad indicators of participation, performance, and general alignment rather than definitive measures of student mastery or learning progress.</w:t>
      </w:r>
      <w:r w:rsidR="0C3FAF9A" w:rsidRPr="26E9DF75">
        <w:rPr>
          <w:sz w:val="24"/>
          <w:szCs w:val="24"/>
        </w:rPr>
        <w:t xml:space="preserve"> </w:t>
      </w:r>
    </w:p>
    <w:p w14:paraId="6AB5FB2C" w14:textId="6BF44588" w:rsidR="00FC2C7D" w:rsidRDefault="00FC2C7D" w:rsidP="0945F12E">
      <w:pPr>
        <w:spacing w:line="276" w:lineRule="auto"/>
        <w:contextualSpacing/>
        <w:rPr>
          <w:rFonts w:eastAsiaTheme="minorEastAsia"/>
          <w:color w:val="000000" w:themeColor="text1"/>
          <w:sz w:val="24"/>
          <w:szCs w:val="24"/>
        </w:rPr>
      </w:pPr>
    </w:p>
    <w:p w14:paraId="4178B22E" w14:textId="3C2708A0" w:rsidR="00FC2C7D" w:rsidRDefault="00FC2C7D" w:rsidP="002C4403">
      <w:pPr>
        <w:pStyle w:val="Heading1"/>
      </w:pPr>
    </w:p>
    <w:p w14:paraId="4612C897" w14:textId="0D1A6E4B" w:rsidR="00FC2C7D" w:rsidRDefault="45690748" w:rsidP="0945F12E">
      <w:r>
        <w:br w:type="page"/>
      </w:r>
    </w:p>
    <w:p w14:paraId="44FF7CE5" w14:textId="4C7EF655" w:rsidR="00FC2C7D" w:rsidRDefault="45690748" w:rsidP="002C4403">
      <w:pPr>
        <w:pStyle w:val="Heading1"/>
      </w:pPr>
      <w:bookmarkStart w:id="21" w:name="_Toc1692723115"/>
      <w:r>
        <w:lastRenderedPageBreak/>
        <w:t>Assessment</w:t>
      </w:r>
      <w:r w:rsidR="59745E41">
        <w:t xml:space="preserve"> Committee</w:t>
      </w:r>
      <w:bookmarkEnd w:id="21"/>
    </w:p>
    <w:p w14:paraId="54192347" w14:textId="4EFB5418" w:rsidR="003E37E5" w:rsidRPr="00CB791C" w:rsidRDefault="6DB60666" w:rsidP="0AAA0FB5">
      <w:pPr>
        <w:widowControl w:val="0"/>
        <w:spacing w:line="240" w:lineRule="auto"/>
        <w:contextualSpacing/>
        <w:rPr>
          <w:sz w:val="24"/>
          <w:szCs w:val="24"/>
        </w:rPr>
      </w:pPr>
      <w:r w:rsidRPr="0AAA0FB5">
        <w:rPr>
          <w:sz w:val="24"/>
          <w:szCs w:val="24"/>
        </w:rPr>
        <w:t>The Office of Assessment, Evaluation</w:t>
      </w:r>
      <w:r w:rsidR="638F45AF" w:rsidRPr="0AAA0FB5">
        <w:rPr>
          <w:sz w:val="24"/>
          <w:szCs w:val="24"/>
        </w:rPr>
        <w:t>,</w:t>
      </w:r>
      <w:r w:rsidRPr="0AAA0FB5">
        <w:rPr>
          <w:sz w:val="24"/>
          <w:szCs w:val="24"/>
        </w:rPr>
        <w:t xml:space="preserve"> and Institutional Outcomes could not perform its varied tasks without the support of </w:t>
      </w:r>
      <w:r w:rsidR="5B5464E3" w:rsidRPr="0AAA0FB5">
        <w:rPr>
          <w:sz w:val="24"/>
          <w:szCs w:val="24"/>
        </w:rPr>
        <w:t>multiple</w:t>
      </w:r>
      <w:r w:rsidRPr="0AAA0FB5">
        <w:rPr>
          <w:sz w:val="24"/>
          <w:szCs w:val="24"/>
        </w:rPr>
        <w:t xml:space="preserve"> committee members across the campus.  Below</w:t>
      </w:r>
      <w:r w:rsidR="575AFF29" w:rsidRPr="0AAA0FB5">
        <w:rPr>
          <w:sz w:val="24"/>
          <w:szCs w:val="24"/>
        </w:rPr>
        <w:t xml:space="preserve"> is </w:t>
      </w:r>
      <w:r w:rsidRPr="0AAA0FB5">
        <w:rPr>
          <w:sz w:val="24"/>
          <w:szCs w:val="24"/>
        </w:rPr>
        <w:t xml:space="preserve">the </w:t>
      </w:r>
      <w:r w:rsidR="2E2D6963" w:rsidRPr="0AAA0FB5">
        <w:rPr>
          <w:sz w:val="24"/>
          <w:szCs w:val="24"/>
        </w:rPr>
        <w:t xml:space="preserve">Academic Year </w:t>
      </w:r>
      <w:r w:rsidR="63DFBFCC" w:rsidRPr="0AAA0FB5">
        <w:rPr>
          <w:sz w:val="24"/>
          <w:szCs w:val="24"/>
        </w:rPr>
        <w:t>2024-25</w:t>
      </w:r>
      <w:r w:rsidRPr="0AAA0FB5">
        <w:rPr>
          <w:sz w:val="24"/>
          <w:szCs w:val="24"/>
        </w:rPr>
        <w:t xml:space="preserve"> </w:t>
      </w:r>
      <w:r w:rsidR="41BCA1A3" w:rsidRPr="0AAA0FB5">
        <w:rPr>
          <w:sz w:val="24"/>
          <w:szCs w:val="24"/>
        </w:rPr>
        <w:t>Assessment C</w:t>
      </w:r>
      <w:r w:rsidRPr="0AAA0FB5">
        <w:rPr>
          <w:sz w:val="24"/>
          <w:szCs w:val="24"/>
        </w:rPr>
        <w:t>ommittee members.</w:t>
      </w:r>
    </w:p>
    <w:p w14:paraId="5A9499EA" w14:textId="20409A16" w:rsidR="2D14FBAC" w:rsidRDefault="2D14FBAC" w:rsidP="0945F12E">
      <w:pPr>
        <w:widowControl w:val="0"/>
        <w:spacing w:line="240" w:lineRule="auto"/>
        <w:contextualSpacing/>
        <w:rPr>
          <w:b/>
          <w:bCs/>
          <w:sz w:val="24"/>
          <w:szCs w:val="24"/>
        </w:rPr>
      </w:pPr>
    </w:p>
    <w:p w14:paraId="750D04D3" w14:textId="43CA9212" w:rsidR="0000758E" w:rsidRDefault="0000758E" w:rsidP="0945F12E">
      <w:pPr>
        <w:widowControl w:val="0"/>
        <w:spacing w:line="240" w:lineRule="auto"/>
        <w:contextualSpacing/>
        <w:rPr>
          <w:b/>
          <w:bCs/>
          <w:sz w:val="24"/>
          <w:szCs w:val="24"/>
        </w:rPr>
      </w:pPr>
      <w:r w:rsidRPr="0945F12E">
        <w:rPr>
          <w:b/>
          <w:bCs/>
          <w:sz w:val="24"/>
          <w:szCs w:val="24"/>
        </w:rPr>
        <w:t>Assessment Committee Members</w:t>
      </w:r>
    </w:p>
    <w:p w14:paraId="732F269E" w14:textId="7E6222F0" w:rsidR="00BC4F17" w:rsidRDefault="00BC4F17" w:rsidP="0945F12E">
      <w:pPr>
        <w:widowControl w:val="0"/>
        <w:spacing w:line="240" w:lineRule="auto"/>
        <w:contextualSpacing/>
        <w:rPr>
          <w:sz w:val="24"/>
          <w:szCs w:val="24"/>
        </w:rPr>
      </w:pPr>
      <w:r w:rsidRPr="0945F12E">
        <w:rPr>
          <w:sz w:val="24"/>
          <w:szCs w:val="24"/>
        </w:rPr>
        <w:t>Amanda Glass: Co-Chair, Associate Professor of Chemistry</w:t>
      </w:r>
    </w:p>
    <w:p w14:paraId="4BAE7D83" w14:textId="72DAD0E3" w:rsidR="00BC4F17" w:rsidRDefault="00BC4F17" w:rsidP="0945F12E">
      <w:pPr>
        <w:widowControl w:val="0"/>
        <w:spacing w:line="240" w:lineRule="auto"/>
        <w:contextualSpacing/>
        <w:rPr>
          <w:sz w:val="24"/>
          <w:szCs w:val="24"/>
        </w:rPr>
      </w:pPr>
      <w:r w:rsidRPr="0945F12E">
        <w:rPr>
          <w:sz w:val="24"/>
          <w:szCs w:val="24"/>
        </w:rPr>
        <w:t>Andrea Thimesch: Assistant Professor/Librarian</w:t>
      </w:r>
    </w:p>
    <w:p w14:paraId="5B1CC4BD" w14:textId="68E36F21" w:rsidR="00BC4F17" w:rsidRDefault="00BC4F17" w:rsidP="0945F12E">
      <w:pPr>
        <w:widowControl w:val="0"/>
        <w:spacing w:line="240" w:lineRule="auto"/>
        <w:contextualSpacing/>
        <w:rPr>
          <w:sz w:val="24"/>
          <w:szCs w:val="24"/>
        </w:rPr>
      </w:pPr>
      <w:r w:rsidRPr="0945F12E">
        <w:rPr>
          <w:sz w:val="24"/>
          <w:szCs w:val="24"/>
        </w:rPr>
        <w:t>Brian Zirkle: Professor of Sociology</w:t>
      </w:r>
    </w:p>
    <w:p w14:paraId="2CCE3436" w14:textId="4EB02573" w:rsidR="00BC4F17" w:rsidRDefault="00BC4F17" w:rsidP="0945F12E">
      <w:pPr>
        <w:widowControl w:val="0"/>
        <w:spacing w:line="240" w:lineRule="auto"/>
        <w:contextualSpacing/>
        <w:rPr>
          <w:sz w:val="24"/>
          <w:szCs w:val="24"/>
        </w:rPr>
      </w:pPr>
      <w:r w:rsidRPr="0945F12E">
        <w:rPr>
          <w:sz w:val="24"/>
          <w:szCs w:val="24"/>
        </w:rPr>
        <w:t>Mark Browning: Professor of English</w:t>
      </w:r>
    </w:p>
    <w:p w14:paraId="735747DD" w14:textId="7AAB4D2F" w:rsidR="00BC4F17" w:rsidRDefault="00BC4F17" w:rsidP="0945F12E">
      <w:pPr>
        <w:widowControl w:val="0"/>
        <w:spacing w:line="240" w:lineRule="auto"/>
        <w:contextualSpacing/>
        <w:rPr>
          <w:sz w:val="24"/>
          <w:szCs w:val="24"/>
        </w:rPr>
      </w:pPr>
      <w:r w:rsidRPr="0945F12E">
        <w:rPr>
          <w:sz w:val="24"/>
          <w:szCs w:val="24"/>
        </w:rPr>
        <w:t>Donna He</w:t>
      </w:r>
      <w:r w:rsidR="007B7630" w:rsidRPr="0945F12E">
        <w:rPr>
          <w:sz w:val="24"/>
          <w:szCs w:val="24"/>
        </w:rPr>
        <w:t>lgeson: Professor of Mathematics</w:t>
      </w:r>
    </w:p>
    <w:p w14:paraId="24F85960" w14:textId="33B7F9FA" w:rsidR="007B7630" w:rsidRPr="00BC4F17" w:rsidRDefault="007B7630" w:rsidP="0945F12E">
      <w:pPr>
        <w:widowControl w:val="0"/>
        <w:spacing w:line="240" w:lineRule="auto"/>
        <w:contextualSpacing/>
        <w:rPr>
          <w:sz w:val="24"/>
          <w:szCs w:val="24"/>
        </w:rPr>
      </w:pPr>
      <w:r w:rsidRPr="0945F12E">
        <w:rPr>
          <w:sz w:val="24"/>
          <w:szCs w:val="24"/>
        </w:rPr>
        <w:t>Yosei Sugawara: Associate Professor of Foreign Language</w:t>
      </w:r>
    </w:p>
    <w:p w14:paraId="18DAEF1E" w14:textId="789199B3" w:rsidR="0000758E" w:rsidRDefault="007B7630" w:rsidP="0945F12E">
      <w:pPr>
        <w:widowControl w:val="0"/>
        <w:spacing w:line="240" w:lineRule="auto"/>
        <w:contextualSpacing/>
        <w:rPr>
          <w:sz w:val="24"/>
          <w:szCs w:val="24"/>
        </w:rPr>
      </w:pPr>
      <w:r w:rsidRPr="0945F12E">
        <w:rPr>
          <w:sz w:val="24"/>
          <w:szCs w:val="24"/>
        </w:rPr>
        <w:t>Jack Ireland: Professor of Automotive Tech</w:t>
      </w:r>
    </w:p>
    <w:p w14:paraId="121EE53C" w14:textId="5B1AB0B7" w:rsidR="007B7630" w:rsidRDefault="007B7630" w:rsidP="0945F12E">
      <w:pPr>
        <w:widowControl w:val="0"/>
        <w:spacing w:line="240" w:lineRule="auto"/>
        <w:contextualSpacing/>
        <w:rPr>
          <w:sz w:val="24"/>
          <w:szCs w:val="24"/>
        </w:rPr>
      </w:pPr>
      <w:r w:rsidRPr="0945F12E">
        <w:rPr>
          <w:sz w:val="24"/>
          <w:szCs w:val="24"/>
        </w:rPr>
        <w:t>Hondo Tamez: Associate Professor of Information Technology</w:t>
      </w:r>
    </w:p>
    <w:p w14:paraId="2195D162" w14:textId="6DD39CFD" w:rsidR="007B7630" w:rsidRPr="003E37E5" w:rsidRDefault="007B7630" w:rsidP="0945F12E">
      <w:pPr>
        <w:widowControl w:val="0"/>
        <w:spacing w:line="240" w:lineRule="auto"/>
        <w:contextualSpacing/>
        <w:rPr>
          <w:sz w:val="24"/>
          <w:szCs w:val="24"/>
        </w:rPr>
      </w:pPr>
      <w:r w:rsidRPr="0945F12E">
        <w:rPr>
          <w:sz w:val="24"/>
          <w:szCs w:val="24"/>
        </w:rPr>
        <w:t>Charles Foat: Director of Emergency Medical Science</w:t>
      </w:r>
    </w:p>
    <w:sectPr w:rsidR="007B7630" w:rsidRPr="003E37E5" w:rsidSect="008A2D0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B15D" w14:textId="77777777" w:rsidR="005F3EF3" w:rsidRDefault="005F3EF3" w:rsidP="00965EFD">
      <w:pPr>
        <w:spacing w:after="0" w:line="240" w:lineRule="auto"/>
      </w:pPr>
      <w:r>
        <w:separator/>
      </w:r>
    </w:p>
  </w:endnote>
  <w:endnote w:type="continuationSeparator" w:id="0">
    <w:p w14:paraId="734D1254" w14:textId="77777777" w:rsidR="005F3EF3" w:rsidRDefault="005F3EF3" w:rsidP="00965EFD">
      <w:pPr>
        <w:spacing w:after="0" w:line="240" w:lineRule="auto"/>
      </w:pPr>
      <w:r>
        <w:continuationSeparator/>
      </w:r>
    </w:p>
  </w:endnote>
  <w:endnote w:type="continuationNotice" w:id="1">
    <w:p w14:paraId="1BF7FF6C" w14:textId="77777777" w:rsidR="005F3EF3" w:rsidRDefault="005F3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15CD" w14:textId="77777777" w:rsidR="00B12EBD" w:rsidRDefault="00B12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565670"/>
      <w:docPartObj>
        <w:docPartGallery w:val="Page Numbers (Bottom of Page)"/>
        <w:docPartUnique/>
      </w:docPartObj>
    </w:sdtPr>
    <w:sdtEndPr>
      <w:rPr>
        <w:noProof/>
      </w:rPr>
    </w:sdtEndPr>
    <w:sdtContent>
      <w:p w14:paraId="4745BB72" w14:textId="5B7E9DF3" w:rsidR="0057652C" w:rsidRDefault="005765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C42E0" w14:textId="77777777" w:rsidR="00965EFD" w:rsidRDefault="00965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E023" w14:textId="44BF9A12" w:rsidR="002A3F3F" w:rsidRPr="00137E4F" w:rsidRDefault="0AFEF033" w:rsidP="0AFEF033">
    <w:pPr>
      <w:spacing w:after="0"/>
      <w:rPr>
        <w:b/>
        <w:bCs/>
        <w:sz w:val="20"/>
        <w:szCs w:val="20"/>
        <w:shd w:val="clear" w:color="auto" w:fill="FFFFFF"/>
      </w:rPr>
    </w:pPr>
    <w:r w:rsidRPr="0AFEF033">
      <w:rPr>
        <w:b/>
        <w:bCs/>
        <w:sz w:val="20"/>
        <w:szCs w:val="20"/>
        <w:shd w:val="clear" w:color="auto" w:fill="FFFFFF"/>
      </w:rPr>
      <w:t xml:space="preserve">Contact Information: </w:t>
    </w:r>
    <w:r w:rsidRPr="0AFEF033">
      <w:rPr>
        <w:sz w:val="20"/>
        <w:szCs w:val="20"/>
        <w:shd w:val="clear" w:color="auto" w:fill="FFFFFF"/>
      </w:rPr>
      <w:t>Michael Brooks, Director / 913.469.7607 - Mbrook61@jccc.edu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F92C" w14:textId="77777777" w:rsidR="005F3EF3" w:rsidRDefault="005F3EF3" w:rsidP="00965EFD">
      <w:pPr>
        <w:spacing w:after="0" w:line="240" w:lineRule="auto"/>
      </w:pPr>
      <w:r>
        <w:separator/>
      </w:r>
    </w:p>
  </w:footnote>
  <w:footnote w:type="continuationSeparator" w:id="0">
    <w:p w14:paraId="1195F1E9" w14:textId="77777777" w:rsidR="005F3EF3" w:rsidRDefault="005F3EF3" w:rsidP="00965EFD">
      <w:pPr>
        <w:spacing w:after="0" w:line="240" w:lineRule="auto"/>
      </w:pPr>
      <w:r>
        <w:continuationSeparator/>
      </w:r>
    </w:p>
  </w:footnote>
  <w:footnote w:type="continuationNotice" w:id="1">
    <w:p w14:paraId="615BA92F" w14:textId="77777777" w:rsidR="005F3EF3" w:rsidRDefault="005F3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AEC7" w14:textId="1F69BEFD" w:rsidR="00B12EBD" w:rsidRDefault="00B12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FEF033" w14:paraId="31819561" w14:textId="77777777" w:rsidTr="0AFEF033">
      <w:trPr>
        <w:trHeight w:val="300"/>
      </w:trPr>
      <w:tc>
        <w:tcPr>
          <w:tcW w:w="3120" w:type="dxa"/>
        </w:tcPr>
        <w:p w14:paraId="19B2C93B" w14:textId="5850DCB2" w:rsidR="0AFEF033" w:rsidRDefault="0AFEF033" w:rsidP="0AFEF033">
          <w:pPr>
            <w:pStyle w:val="Header"/>
            <w:ind w:left="-115"/>
          </w:pPr>
        </w:p>
      </w:tc>
      <w:tc>
        <w:tcPr>
          <w:tcW w:w="3120" w:type="dxa"/>
        </w:tcPr>
        <w:p w14:paraId="1142AB48" w14:textId="3EEEEA4C" w:rsidR="0AFEF033" w:rsidRDefault="0AFEF033" w:rsidP="0AFEF033">
          <w:pPr>
            <w:pStyle w:val="Header"/>
            <w:jc w:val="center"/>
          </w:pPr>
        </w:p>
      </w:tc>
      <w:tc>
        <w:tcPr>
          <w:tcW w:w="3120" w:type="dxa"/>
        </w:tcPr>
        <w:p w14:paraId="2B7D693A" w14:textId="16E8D2B6" w:rsidR="0AFEF033" w:rsidRDefault="0AFEF033" w:rsidP="0AFEF033">
          <w:pPr>
            <w:pStyle w:val="Header"/>
            <w:ind w:right="-115"/>
            <w:jc w:val="right"/>
          </w:pPr>
        </w:p>
      </w:tc>
    </w:tr>
  </w:tbl>
  <w:p w14:paraId="21EBA7FB" w14:textId="26948D33" w:rsidR="0AFEF033" w:rsidRDefault="0AFEF033" w:rsidP="0AFEF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FEF033" w14:paraId="662DFFAE" w14:textId="77777777" w:rsidTr="0AFEF033">
      <w:trPr>
        <w:trHeight w:val="300"/>
      </w:trPr>
      <w:tc>
        <w:tcPr>
          <w:tcW w:w="3120" w:type="dxa"/>
        </w:tcPr>
        <w:p w14:paraId="5FB8BC97" w14:textId="608538BF" w:rsidR="0AFEF033" w:rsidRDefault="0AFEF033" w:rsidP="0AFEF033">
          <w:pPr>
            <w:pStyle w:val="Header"/>
            <w:ind w:left="-115"/>
          </w:pPr>
        </w:p>
      </w:tc>
      <w:tc>
        <w:tcPr>
          <w:tcW w:w="3120" w:type="dxa"/>
        </w:tcPr>
        <w:p w14:paraId="0B168070" w14:textId="7DA82262" w:rsidR="0AFEF033" w:rsidRDefault="0AFEF033" w:rsidP="0AFEF033">
          <w:pPr>
            <w:pStyle w:val="Header"/>
            <w:jc w:val="center"/>
          </w:pPr>
        </w:p>
      </w:tc>
      <w:tc>
        <w:tcPr>
          <w:tcW w:w="3120" w:type="dxa"/>
        </w:tcPr>
        <w:p w14:paraId="2E984D9C" w14:textId="2CDFEADD" w:rsidR="0AFEF033" w:rsidRDefault="0AFEF033" w:rsidP="0AFEF033">
          <w:pPr>
            <w:pStyle w:val="Header"/>
            <w:ind w:right="-115"/>
            <w:jc w:val="right"/>
          </w:pPr>
        </w:p>
      </w:tc>
    </w:tr>
  </w:tbl>
  <w:p w14:paraId="71F8713D" w14:textId="01149BC3" w:rsidR="0AFEF033" w:rsidRDefault="0AFEF033" w:rsidP="0AFEF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multilevel"/>
    <w:tmpl w:val="52307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869CD"/>
    <w:multiLevelType w:val="multilevel"/>
    <w:tmpl w:val="579C8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F5F8B"/>
    <w:multiLevelType w:val="hybridMultilevel"/>
    <w:tmpl w:val="6D8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16E42"/>
    <w:multiLevelType w:val="hybridMultilevel"/>
    <w:tmpl w:val="2D3C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F25F0"/>
    <w:multiLevelType w:val="hybridMultilevel"/>
    <w:tmpl w:val="234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99C06"/>
    <w:multiLevelType w:val="multilevel"/>
    <w:tmpl w:val="80E68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536CB"/>
    <w:multiLevelType w:val="hybridMultilevel"/>
    <w:tmpl w:val="36362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7524D7"/>
    <w:multiLevelType w:val="hybridMultilevel"/>
    <w:tmpl w:val="2C96D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732FC"/>
    <w:multiLevelType w:val="multilevel"/>
    <w:tmpl w:val="3642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A2170"/>
    <w:multiLevelType w:val="multilevel"/>
    <w:tmpl w:val="27843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61FFE"/>
    <w:multiLevelType w:val="hybridMultilevel"/>
    <w:tmpl w:val="2CBE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45282"/>
    <w:multiLevelType w:val="hybridMultilevel"/>
    <w:tmpl w:val="10B2D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2D5FE9"/>
    <w:multiLevelType w:val="multilevel"/>
    <w:tmpl w:val="5A0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B48CB"/>
    <w:multiLevelType w:val="hybridMultilevel"/>
    <w:tmpl w:val="C774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D326F"/>
    <w:multiLevelType w:val="hybridMultilevel"/>
    <w:tmpl w:val="441A0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587CCE"/>
    <w:multiLevelType w:val="hybridMultilevel"/>
    <w:tmpl w:val="802C8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710AD"/>
    <w:multiLevelType w:val="hybridMultilevel"/>
    <w:tmpl w:val="DFD4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24FE4"/>
    <w:multiLevelType w:val="hybridMultilevel"/>
    <w:tmpl w:val="2830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F68B7"/>
    <w:multiLevelType w:val="hybridMultilevel"/>
    <w:tmpl w:val="11B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E0DEE"/>
    <w:multiLevelType w:val="hybridMultilevel"/>
    <w:tmpl w:val="13C84D48"/>
    <w:lvl w:ilvl="0" w:tplc="5296B0A6">
      <w:numFmt w:val="bullet"/>
      <w:lvlText w:val=""/>
      <w:lvlJc w:val="left"/>
      <w:pPr>
        <w:ind w:left="1180" w:hanging="360"/>
      </w:pPr>
      <w:rPr>
        <w:rFonts w:hint="default"/>
        <w:w w:val="100"/>
      </w:rPr>
    </w:lvl>
    <w:lvl w:ilvl="1" w:tplc="3F4816CC">
      <w:numFmt w:val="bullet"/>
      <w:lvlText w:val=""/>
      <w:lvlJc w:val="left"/>
      <w:pPr>
        <w:ind w:left="1900" w:hanging="360"/>
      </w:pPr>
      <w:rPr>
        <w:rFonts w:ascii="Wingdings" w:eastAsia="Wingdings" w:hAnsi="Wingdings" w:cs="Wingdings" w:hint="default"/>
        <w:w w:val="100"/>
        <w:sz w:val="22"/>
        <w:szCs w:val="22"/>
      </w:rPr>
    </w:lvl>
    <w:lvl w:ilvl="2" w:tplc="DFB810D4">
      <w:numFmt w:val="bullet"/>
      <w:lvlText w:val="•"/>
      <w:lvlJc w:val="left"/>
      <w:pPr>
        <w:ind w:left="2831" w:hanging="360"/>
      </w:pPr>
      <w:rPr>
        <w:rFonts w:hint="default"/>
      </w:rPr>
    </w:lvl>
    <w:lvl w:ilvl="3" w:tplc="F6583A36">
      <w:numFmt w:val="bullet"/>
      <w:lvlText w:val="•"/>
      <w:lvlJc w:val="left"/>
      <w:pPr>
        <w:ind w:left="3762" w:hanging="360"/>
      </w:pPr>
      <w:rPr>
        <w:rFonts w:hint="default"/>
      </w:rPr>
    </w:lvl>
    <w:lvl w:ilvl="4" w:tplc="87D805F4">
      <w:numFmt w:val="bullet"/>
      <w:lvlText w:val="•"/>
      <w:lvlJc w:val="left"/>
      <w:pPr>
        <w:ind w:left="4693" w:hanging="360"/>
      </w:pPr>
      <w:rPr>
        <w:rFonts w:hint="default"/>
      </w:rPr>
    </w:lvl>
    <w:lvl w:ilvl="5" w:tplc="C598DDEC">
      <w:numFmt w:val="bullet"/>
      <w:lvlText w:val="•"/>
      <w:lvlJc w:val="left"/>
      <w:pPr>
        <w:ind w:left="5624" w:hanging="360"/>
      </w:pPr>
      <w:rPr>
        <w:rFonts w:hint="default"/>
      </w:rPr>
    </w:lvl>
    <w:lvl w:ilvl="6" w:tplc="5FAE1694">
      <w:numFmt w:val="bullet"/>
      <w:lvlText w:val="•"/>
      <w:lvlJc w:val="left"/>
      <w:pPr>
        <w:ind w:left="6555" w:hanging="360"/>
      </w:pPr>
      <w:rPr>
        <w:rFonts w:hint="default"/>
      </w:rPr>
    </w:lvl>
    <w:lvl w:ilvl="7" w:tplc="6966FAFC">
      <w:numFmt w:val="bullet"/>
      <w:lvlText w:val="•"/>
      <w:lvlJc w:val="left"/>
      <w:pPr>
        <w:ind w:left="7486" w:hanging="360"/>
      </w:pPr>
      <w:rPr>
        <w:rFonts w:hint="default"/>
      </w:rPr>
    </w:lvl>
    <w:lvl w:ilvl="8" w:tplc="38F8139E">
      <w:numFmt w:val="bullet"/>
      <w:lvlText w:val="•"/>
      <w:lvlJc w:val="left"/>
      <w:pPr>
        <w:ind w:left="8417" w:hanging="360"/>
      </w:pPr>
      <w:rPr>
        <w:rFonts w:hint="default"/>
      </w:rPr>
    </w:lvl>
  </w:abstractNum>
  <w:abstractNum w:abstractNumId="20" w15:restartNumberingAfterBreak="0">
    <w:nsid w:val="38C51A13"/>
    <w:multiLevelType w:val="hybridMultilevel"/>
    <w:tmpl w:val="12E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8181B"/>
    <w:multiLevelType w:val="multilevel"/>
    <w:tmpl w:val="C17EA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BC027F"/>
    <w:multiLevelType w:val="multilevel"/>
    <w:tmpl w:val="E7CA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A097E"/>
    <w:multiLevelType w:val="multilevel"/>
    <w:tmpl w:val="D52E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B205A"/>
    <w:multiLevelType w:val="multilevel"/>
    <w:tmpl w:val="A25C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578D6"/>
    <w:multiLevelType w:val="multilevel"/>
    <w:tmpl w:val="FA82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01EC2"/>
    <w:multiLevelType w:val="multilevel"/>
    <w:tmpl w:val="C0F2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CB2B01"/>
    <w:multiLevelType w:val="hybridMultilevel"/>
    <w:tmpl w:val="E962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71F39"/>
    <w:multiLevelType w:val="hybridMultilevel"/>
    <w:tmpl w:val="2DD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376AC"/>
    <w:multiLevelType w:val="hybridMultilevel"/>
    <w:tmpl w:val="D824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53C7A"/>
    <w:multiLevelType w:val="multilevel"/>
    <w:tmpl w:val="A8FA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824D30"/>
    <w:multiLevelType w:val="hybridMultilevel"/>
    <w:tmpl w:val="F170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8EE81"/>
    <w:multiLevelType w:val="multilevel"/>
    <w:tmpl w:val="0A64E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42984"/>
    <w:multiLevelType w:val="hybridMultilevel"/>
    <w:tmpl w:val="32B84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05373"/>
    <w:multiLevelType w:val="hybridMultilevel"/>
    <w:tmpl w:val="36362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0D13"/>
    <w:multiLevelType w:val="hybridMultilevel"/>
    <w:tmpl w:val="94FC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047499">
    <w:abstractNumId w:val="9"/>
  </w:num>
  <w:num w:numId="2" w16cid:durableId="670988910">
    <w:abstractNumId w:val="32"/>
  </w:num>
  <w:num w:numId="3" w16cid:durableId="1379940094">
    <w:abstractNumId w:val="5"/>
  </w:num>
  <w:num w:numId="4" w16cid:durableId="198904983">
    <w:abstractNumId w:val="21"/>
  </w:num>
  <w:num w:numId="5" w16cid:durableId="1850867863">
    <w:abstractNumId w:val="1"/>
  </w:num>
  <w:num w:numId="6" w16cid:durableId="1193425351">
    <w:abstractNumId w:val="7"/>
  </w:num>
  <w:num w:numId="7" w16cid:durableId="579407803">
    <w:abstractNumId w:val="33"/>
  </w:num>
  <w:num w:numId="8" w16cid:durableId="597908677">
    <w:abstractNumId w:val="34"/>
  </w:num>
  <w:num w:numId="9" w16cid:durableId="2084715945">
    <w:abstractNumId w:val="3"/>
  </w:num>
  <w:num w:numId="10" w16cid:durableId="737705627">
    <w:abstractNumId w:val="16"/>
  </w:num>
  <w:num w:numId="11" w16cid:durableId="1651979543">
    <w:abstractNumId w:val="13"/>
  </w:num>
  <w:num w:numId="12" w16cid:durableId="35088433">
    <w:abstractNumId w:val="17"/>
  </w:num>
  <w:num w:numId="13" w16cid:durableId="758062685">
    <w:abstractNumId w:val="0"/>
  </w:num>
  <w:num w:numId="14" w16cid:durableId="235752449">
    <w:abstractNumId w:val="30"/>
  </w:num>
  <w:num w:numId="15" w16cid:durableId="1957249001">
    <w:abstractNumId w:val="10"/>
  </w:num>
  <w:num w:numId="16" w16cid:durableId="1779830641">
    <w:abstractNumId w:val="19"/>
  </w:num>
  <w:num w:numId="17" w16cid:durableId="1552959390">
    <w:abstractNumId w:val="20"/>
  </w:num>
  <w:num w:numId="18" w16cid:durableId="876814896">
    <w:abstractNumId w:val="2"/>
  </w:num>
  <w:num w:numId="19" w16cid:durableId="1970549286">
    <w:abstractNumId w:val="15"/>
  </w:num>
  <w:num w:numId="20" w16cid:durableId="1956131679">
    <w:abstractNumId w:val="6"/>
  </w:num>
  <w:num w:numId="21" w16cid:durableId="1072855866">
    <w:abstractNumId w:val="4"/>
  </w:num>
  <w:num w:numId="22" w16cid:durableId="1579095256">
    <w:abstractNumId w:val="31"/>
  </w:num>
  <w:num w:numId="23" w16cid:durableId="68583126">
    <w:abstractNumId w:val="28"/>
  </w:num>
  <w:num w:numId="24" w16cid:durableId="421224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05495">
    <w:abstractNumId w:val="26"/>
  </w:num>
  <w:num w:numId="26" w16cid:durableId="847446837">
    <w:abstractNumId w:val="14"/>
  </w:num>
  <w:num w:numId="27" w16cid:durableId="1014385428">
    <w:abstractNumId w:val="35"/>
  </w:num>
  <w:num w:numId="28" w16cid:durableId="1043363751">
    <w:abstractNumId w:val="11"/>
  </w:num>
  <w:num w:numId="29" w16cid:durableId="1626547511">
    <w:abstractNumId w:val="29"/>
  </w:num>
  <w:num w:numId="30" w16cid:durableId="785731807">
    <w:abstractNumId w:val="18"/>
  </w:num>
  <w:num w:numId="31" w16cid:durableId="1779374587">
    <w:abstractNumId w:val="27"/>
  </w:num>
  <w:num w:numId="32" w16cid:durableId="1829593174">
    <w:abstractNumId w:val="25"/>
  </w:num>
  <w:num w:numId="33" w16cid:durableId="1754548740">
    <w:abstractNumId w:val="8"/>
  </w:num>
  <w:num w:numId="34" w16cid:durableId="600648050">
    <w:abstractNumId w:val="24"/>
  </w:num>
  <w:num w:numId="35" w16cid:durableId="141315140">
    <w:abstractNumId w:val="23"/>
  </w:num>
  <w:num w:numId="36" w16cid:durableId="1160803600">
    <w:abstractNumId w:val="12"/>
  </w:num>
  <w:num w:numId="37" w16cid:durableId="15169650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DB"/>
    <w:rsid w:val="00000F0C"/>
    <w:rsid w:val="00002E25"/>
    <w:rsid w:val="00002EB4"/>
    <w:rsid w:val="0000758E"/>
    <w:rsid w:val="000111EC"/>
    <w:rsid w:val="00012F0C"/>
    <w:rsid w:val="00016BE9"/>
    <w:rsid w:val="000224C1"/>
    <w:rsid w:val="000230AD"/>
    <w:rsid w:val="0002756F"/>
    <w:rsid w:val="000283F4"/>
    <w:rsid w:val="00034FE6"/>
    <w:rsid w:val="00037318"/>
    <w:rsid w:val="00041DC6"/>
    <w:rsid w:val="00042404"/>
    <w:rsid w:val="00043B4C"/>
    <w:rsid w:val="00043EDB"/>
    <w:rsid w:val="00050E2D"/>
    <w:rsid w:val="00051129"/>
    <w:rsid w:val="00056E51"/>
    <w:rsid w:val="00062D34"/>
    <w:rsid w:val="0006606B"/>
    <w:rsid w:val="0006632D"/>
    <w:rsid w:val="000729D3"/>
    <w:rsid w:val="0007754C"/>
    <w:rsid w:val="00081A67"/>
    <w:rsid w:val="00084A33"/>
    <w:rsid w:val="0009344F"/>
    <w:rsid w:val="00094DEC"/>
    <w:rsid w:val="00096130"/>
    <w:rsid w:val="0009683B"/>
    <w:rsid w:val="00096C3C"/>
    <w:rsid w:val="000A030D"/>
    <w:rsid w:val="000A6191"/>
    <w:rsid w:val="000C1F2A"/>
    <w:rsid w:val="000C2EF1"/>
    <w:rsid w:val="000D0B1B"/>
    <w:rsid w:val="000D15A7"/>
    <w:rsid w:val="000D246C"/>
    <w:rsid w:val="000E1709"/>
    <w:rsid w:val="000E2A2E"/>
    <w:rsid w:val="000E2D79"/>
    <w:rsid w:val="000E43EE"/>
    <w:rsid w:val="000E6A55"/>
    <w:rsid w:val="000F3502"/>
    <w:rsid w:val="000F6BED"/>
    <w:rsid w:val="000F7479"/>
    <w:rsid w:val="00112D41"/>
    <w:rsid w:val="00114767"/>
    <w:rsid w:val="00117169"/>
    <w:rsid w:val="00117AEE"/>
    <w:rsid w:val="00120023"/>
    <w:rsid w:val="001211E8"/>
    <w:rsid w:val="0012353B"/>
    <w:rsid w:val="001355F5"/>
    <w:rsid w:val="00137E4F"/>
    <w:rsid w:val="001401E6"/>
    <w:rsid w:val="00144669"/>
    <w:rsid w:val="00152422"/>
    <w:rsid w:val="0015324A"/>
    <w:rsid w:val="00161BAE"/>
    <w:rsid w:val="00165B96"/>
    <w:rsid w:val="001770D8"/>
    <w:rsid w:val="001800C6"/>
    <w:rsid w:val="00185BCA"/>
    <w:rsid w:val="0019060B"/>
    <w:rsid w:val="0019363A"/>
    <w:rsid w:val="001B5005"/>
    <w:rsid w:val="001C27ED"/>
    <w:rsid w:val="001C4D51"/>
    <w:rsid w:val="001C5F75"/>
    <w:rsid w:val="001C6FBE"/>
    <w:rsid w:val="001E071E"/>
    <w:rsid w:val="001E14D7"/>
    <w:rsid w:val="001E3A15"/>
    <w:rsid w:val="001E62C9"/>
    <w:rsid w:val="001E6E69"/>
    <w:rsid w:val="001F2DDD"/>
    <w:rsid w:val="001F4F31"/>
    <w:rsid w:val="00203646"/>
    <w:rsid w:val="00213183"/>
    <w:rsid w:val="00221E05"/>
    <w:rsid w:val="002221D1"/>
    <w:rsid w:val="00222B5B"/>
    <w:rsid w:val="00223E2E"/>
    <w:rsid w:val="002324FE"/>
    <w:rsid w:val="0023312E"/>
    <w:rsid w:val="00237068"/>
    <w:rsid w:val="0024084C"/>
    <w:rsid w:val="00244D0F"/>
    <w:rsid w:val="0024612C"/>
    <w:rsid w:val="0024742D"/>
    <w:rsid w:val="00250C82"/>
    <w:rsid w:val="00254F71"/>
    <w:rsid w:val="00255398"/>
    <w:rsid w:val="002611F4"/>
    <w:rsid w:val="0026715F"/>
    <w:rsid w:val="0027228C"/>
    <w:rsid w:val="00273459"/>
    <w:rsid w:val="00276312"/>
    <w:rsid w:val="00276B48"/>
    <w:rsid w:val="00282845"/>
    <w:rsid w:val="00282B28"/>
    <w:rsid w:val="0028397B"/>
    <w:rsid w:val="00284A3F"/>
    <w:rsid w:val="00285357"/>
    <w:rsid w:val="0028789A"/>
    <w:rsid w:val="002909E0"/>
    <w:rsid w:val="002932B5"/>
    <w:rsid w:val="00293540"/>
    <w:rsid w:val="002A22B3"/>
    <w:rsid w:val="002A3F3F"/>
    <w:rsid w:val="002B4EFC"/>
    <w:rsid w:val="002B7680"/>
    <w:rsid w:val="002C3E08"/>
    <w:rsid w:val="002C4403"/>
    <w:rsid w:val="002C486F"/>
    <w:rsid w:val="002D2414"/>
    <w:rsid w:val="002D48EC"/>
    <w:rsid w:val="002D4D47"/>
    <w:rsid w:val="002D6F38"/>
    <w:rsid w:val="002D7F44"/>
    <w:rsid w:val="002E1024"/>
    <w:rsid w:val="002E3E6A"/>
    <w:rsid w:val="002E4BC4"/>
    <w:rsid w:val="002E7267"/>
    <w:rsid w:val="002F05D7"/>
    <w:rsid w:val="00300897"/>
    <w:rsid w:val="003361EC"/>
    <w:rsid w:val="003368A1"/>
    <w:rsid w:val="00337DC2"/>
    <w:rsid w:val="00345CFB"/>
    <w:rsid w:val="003538BF"/>
    <w:rsid w:val="00354140"/>
    <w:rsid w:val="00364877"/>
    <w:rsid w:val="00372F1B"/>
    <w:rsid w:val="00373BC1"/>
    <w:rsid w:val="0038235F"/>
    <w:rsid w:val="0038240D"/>
    <w:rsid w:val="00385075"/>
    <w:rsid w:val="00385AE2"/>
    <w:rsid w:val="0039269C"/>
    <w:rsid w:val="003A2A60"/>
    <w:rsid w:val="003A2E16"/>
    <w:rsid w:val="003A391C"/>
    <w:rsid w:val="003A4562"/>
    <w:rsid w:val="003A4E11"/>
    <w:rsid w:val="003A5F60"/>
    <w:rsid w:val="003A633B"/>
    <w:rsid w:val="003B306B"/>
    <w:rsid w:val="003B388C"/>
    <w:rsid w:val="003C0670"/>
    <w:rsid w:val="003C1F19"/>
    <w:rsid w:val="003C3F95"/>
    <w:rsid w:val="003C7AE3"/>
    <w:rsid w:val="003D1392"/>
    <w:rsid w:val="003E37E5"/>
    <w:rsid w:val="003E39D2"/>
    <w:rsid w:val="003E629A"/>
    <w:rsid w:val="003E6F27"/>
    <w:rsid w:val="003E70CC"/>
    <w:rsid w:val="003E7DE2"/>
    <w:rsid w:val="003F2841"/>
    <w:rsid w:val="004069B2"/>
    <w:rsid w:val="00406FB4"/>
    <w:rsid w:val="004107D9"/>
    <w:rsid w:val="00411A02"/>
    <w:rsid w:val="004129A3"/>
    <w:rsid w:val="00412B24"/>
    <w:rsid w:val="00413386"/>
    <w:rsid w:val="00420130"/>
    <w:rsid w:val="00424AC8"/>
    <w:rsid w:val="00431846"/>
    <w:rsid w:val="00451348"/>
    <w:rsid w:val="004538DB"/>
    <w:rsid w:val="00454388"/>
    <w:rsid w:val="0046544B"/>
    <w:rsid w:val="00466B7E"/>
    <w:rsid w:val="00472538"/>
    <w:rsid w:val="00472A8D"/>
    <w:rsid w:val="00472B18"/>
    <w:rsid w:val="00472BCD"/>
    <w:rsid w:val="004737C9"/>
    <w:rsid w:val="00483B25"/>
    <w:rsid w:val="004841D4"/>
    <w:rsid w:val="00485536"/>
    <w:rsid w:val="00487232"/>
    <w:rsid w:val="004A3062"/>
    <w:rsid w:val="004A4F70"/>
    <w:rsid w:val="004A563E"/>
    <w:rsid w:val="004B07B4"/>
    <w:rsid w:val="004B0BFA"/>
    <w:rsid w:val="004B23F1"/>
    <w:rsid w:val="004B5939"/>
    <w:rsid w:val="004B6DE5"/>
    <w:rsid w:val="004C191D"/>
    <w:rsid w:val="004C19F8"/>
    <w:rsid w:val="004C4E89"/>
    <w:rsid w:val="004C52EE"/>
    <w:rsid w:val="004D421F"/>
    <w:rsid w:val="004D4C31"/>
    <w:rsid w:val="004D58E5"/>
    <w:rsid w:val="004D68EF"/>
    <w:rsid w:val="004E00B6"/>
    <w:rsid w:val="004F290C"/>
    <w:rsid w:val="004F2AA6"/>
    <w:rsid w:val="004F4090"/>
    <w:rsid w:val="004F5878"/>
    <w:rsid w:val="004F6B02"/>
    <w:rsid w:val="00504244"/>
    <w:rsid w:val="00506321"/>
    <w:rsid w:val="005105B6"/>
    <w:rsid w:val="00510BD4"/>
    <w:rsid w:val="00515BF6"/>
    <w:rsid w:val="00521169"/>
    <w:rsid w:val="00521579"/>
    <w:rsid w:val="005220F5"/>
    <w:rsid w:val="005255F8"/>
    <w:rsid w:val="00525870"/>
    <w:rsid w:val="00541D14"/>
    <w:rsid w:val="00541F74"/>
    <w:rsid w:val="005438D1"/>
    <w:rsid w:val="00553D28"/>
    <w:rsid w:val="0055554B"/>
    <w:rsid w:val="00555795"/>
    <w:rsid w:val="0056072D"/>
    <w:rsid w:val="00565B07"/>
    <w:rsid w:val="0057652C"/>
    <w:rsid w:val="00580DBE"/>
    <w:rsid w:val="005829C9"/>
    <w:rsid w:val="00582F4F"/>
    <w:rsid w:val="00583623"/>
    <w:rsid w:val="005853F2"/>
    <w:rsid w:val="005859D4"/>
    <w:rsid w:val="00590AAD"/>
    <w:rsid w:val="00591218"/>
    <w:rsid w:val="00592FE7"/>
    <w:rsid w:val="005A242E"/>
    <w:rsid w:val="005A4008"/>
    <w:rsid w:val="005A6E6E"/>
    <w:rsid w:val="005B2D8F"/>
    <w:rsid w:val="005B67D4"/>
    <w:rsid w:val="005C0232"/>
    <w:rsid w:val="005C36FC"/>
    <w:rsid w:val="005C51B0"/>
    <w:rsid w:val="005C640F"/>
    <w:rsid w:val="005D068A"/>
    <w:rsid w:val="005D68B5"/>
    <w:rsid w:val="005E287C"/>
    <w:rsid w:val="005E51B9"/>
    <w:rsid w:val="005E540B"/>
    <w:rsid w:val="005F0322"/>
    <w:rsid w:val="005F3EF3"/>
    <w:rsid w:val="005F53B4"/>
    <w:rsid w:val="005F6143"/>
    <w:rsid w:val="005F6D26"/>
    <w:rsid w:val="00607613"/>
    <w:rsid w:val="0061004F"/>
    <w:rsid w:val="00615B1E"/>
    <w:rsid w:val="006242D5"/>
    <w:rsid w:val="006247FB"/>
    <w:rsid w:val="0063118F"/>
    <w:rsid w:val="006379AA"/>
    <w:rsid w:val="0065022F"/>
    <w:rsid w:val="00650723"/>
    <w:rsid w:val="0065159B"/>
    <w:rsid w:val="00652430"/>
    <w:rsid w:val="00655805"/>
    <w:rsid w:val="00664B3F"/>
    <w:rsid w:val="00664FC0"/>
    <w:rsid w:val="0066591E"/>
    <w:rsid w:val="00671D67"/>
    <w:rsid w:val="00683662"/>
    <w:rsid w:val="00690DAB"/>
    <w:rsid w:val="00693087"/>
    <w:rsid w:val="00695845"/>
    <w:rsid w:val="00696594"/>
    <w:rsid w:val="00697AF6"/>
    <w:rsid w:val="006A36D1"/>
    <w:rsid w:val="006B6FF9"/>
    <w:rsid w:val="006C68F0"/>
    <w:rsid w:val="006C6BF8"/>
    <w:rsid w:val="006D0310"/>
    <w:rsid w:val="006D1336"/>
    <w:rsid w:val="006D13E1"/>
    <w:rsid w:val="006D1BD8"/>
    <w:rsid w:val="006D3A72"/>
    <w:rsid w:val="006D3B79"/>
    <w:rsid w:val="006D5B90"/>
    <w:rsid w:val="006E12EE"/>
    <w:rsid w:val="006E2B03"/>
    <w:rsid w:val="006F08B3"/>
    <w:rsid w:val="006F2881"/>
    <w:rsid w:val="00701BCC"/>
    <w:rsid w:val="0071084F"/>
    <w:rsid w:val="0072386E"/>
    <w:rsid w:val="00725980"/>
    <w:rsid w:val="00740DBB"/>
    <w:rsid w:val="00741592"/>
    <w:rsid w:val="00752C10"/>
    <w:rsid w:val="007573C9"/>
    <w:rsid w:val="00760D8C"/>
    <w:rsid w:val="007644D2"/>
    <w:rsid w:val="00764DDC"/>
    <w:rsid w:val="007731DD"/>
    <w:rsid w:val="007779B1"/>
    <w:rsid w:val="00782D91"/>
    <w:rsid w:val="00783F32"/>
    <w:rsid w:val="007904DD"/>
    <w:rsid w:val="00790C8F"/>
    <w:rsid w:val="00790D66"/>
    <w:rsid w:val="00792425"/>
    <w:rsid w:val="007A0C89"/>
    <w:rsid w:val="007A167F"/>
    <w:rsid w:val="007A3EC8"/>
    <w:rsid w:val="007B03DE"/>
    <w:rsid w:val="007B5EB0"/>
    <w:rsid w:val="007B7630"/>
    <w:rsid w:val="007C039D"/>
    <w:rsid w:val="007C413D"/>
    <w:rsid w:val="007D7C3F"/>
    <w:rsid w:val="007E018B"/>
    <w:rsid w:val="007E0B73"/>
    <w:rsid w:val="007E2D4D"/>
    <w:rsid w:val="007E3642"/>
    <w:rsid w:val="007E4FD5"/>
    <w:rsid w:val="007F0F7F"/>
    <w:rsid w:val="007F3FE6"/>
    <w:rsid w:val="00800498"/>
    <w:rsid w:val="0080239E"/>
    <w:rsid w:val="00802E62"/>
    <w:rsid w:val="008033D5"/>
    <w:rsid w:val="008059DA"/>
    <w:rsid w:val="00806606"/>
    <w:rsid w:val="00823A32"/>
    <w:rsid w:val="00832BD2"/>
    <w:rsid w:val="00834989"/>
    <w:rsid w:val="00835614"/>
    <w:rsid w:val="00837D87"/>
    <w:rsid w:val="00847AC2"/>
    <w:rsid w:val="00850377"/>
    <w:rsid w:val="0085240F"/>
    <w:rsid w:val="00886813"/>
    <w:rsid w:val="00891CEA"/>
    <w:rsid w:val="008A123C"/>
    <w:rsid w:val="008A1396"/>
    <w:rsid w:val="008A2D00"/>
    <w:rsid w:val="008A702E"/>
    <w:rsid w:val="008A7428"/>
    <w:rsid w:val="008C0924"/>
    <w:rsid w:val="008C0E9B"/>
    <w:rsid w:val="008C26E7"/>
    <w:rsid w:val="008C3DE5"/>
    <w:rsid w:val="008D61A4"/>
    <w:rsid w:val="008E0A8F"/>
    <w:rsid w:val="008E65D2"/>
    <w:rsid w:val="008E7547"/>
    <w:rsid w:val="008F12D3"/>
    <w:rsid w:val="008F39C8"/>
    <w:rsid w:val="008F758B"/>
    <w:rsid w:val="009006A5"/>
    <w:rsid w:val="009008A3"/>
    <w:rsid w:val="0091468C"/>
    <w:rsid w:val="00915FA4"/>
    <w:rsid w:val="00922A14"/>
    <w:rsid w:val="00923768"/>
    <w:rsid w:val="0093329C"/>
    <w:rsid w:val="00941020"/>
    <w:rsid w:val="0094257F"/>
    <w:rsid w:val="00946663"/>
    <w:rsid w:val="00950339"/>
    <w:rsid w:val="009558D3"/>
    <w:rsid w:val="00955EFD"/>
    <w:rsid w:val="00956435"/>
    <w:rsid w:val="00965EFD"/>
    <w:rsid w:val="009700BE"/>
    <w:rsid w:val="009723AD"/>
    <w:rsid w:val="0098164A"/>
    <w:rsid w:val="00986494"/>
    <w:rsid w:val="00990BFB"/>
    <w:rsid w:val="00993F48"/>
    <w:rsid w:val="009A3E4D"/>
    <w:rsid w:val="009A6FE4"/>
    <w:rsid w:val="009B1798"/>
    <w:rsid w:val="009B5C23"/>
    <w:rsid w:val="009B7C7D"/>
    <w:rsid w:val="009C0E07"/>
    <w:rsid w:val="009C2D5A"/>
    <w:rsid w:val="009C4521"/>
    <w:rsid w:val="009D1646"/>
    <w:rsid w:val="009D47E4"/>
    <w:rsid w:val="009D5606"/>
    <w:rsid w:val="009D7B9F"/>
    <w:rsid w:val="009E3EEC"/>
    <w:rsid w:val="009E4732"/>
    <w:rsid w:val="009F5767"/>
    <w:rsid w:val="009F7E96"/>
    <w:rsid w:val="00A027EA"/>
    <w:rsid w:val="00A061AB"/>
    <w:rsid w:val="00A17CD8"/>
    <w:rsid w:val="00A20F2B"/>
    <w:rsid w:val="00A350B9"/>
    <w:rsid w:val="00A40791"/>
    <w:rsid w:val="00A41058"/>
    <w:rsid w:val="00A51506"/>
    <w:rsid w:val="00A618A8"/>
    <w:rsid w:val="00A63ACD"/>
    <w:rsid w:val="00A906F5"/>
    <w:rsid w:val="00A92E6F"/>
    <w:rsid w:val="00A9330E"/>
    <w:rsid w:val="00AA0575"/>
    <w:rsid w:val="00AA1377"/>
    <w:rsid w:val="00AA1512"/>
    <w:rsid w:val="00AA477A"/>
    <w:rsid w:val="00AB121E"/>
    <w:rsid w:val="00AB2808"/>
    <w:rsid w:val="00AC2B2B"/>
    <w:rsid w:val="00AC73BC"/>
    <w:rsid w:val="00AD20A2"/>
    <w:rsid w:val="00AD2FDD"/>
    <w:rsid w:val="00AD3201"/>
    <w:rsid w:val="00AD3461"/>
    <w:rsid w:val="00AD38E6"/>
    <w:rsid w:val="00AE3C65"/>
    <w:rsid w:val="00AE4F67"/>
    <w:rsid w:val="00AE5463"/>
    <w:rsid w:val="00AE57D0"/>
    <w:rsid w:val="00AE5E36"/>
    <w:rsid w:val="00AE6412"/>
    <w:rsid w:val="00AF01D2"/>
    <w:rsid w:val="00AF2E19"/>
    <w:rsid w:val="00AF5590"/>
    <w:rsid w:val="00AF76D4"/>
    <w:rsid w:val="00B04FAE"/>
    <w:rsid w:val="00B12638"/>
    <w:rsid w:val="00B12EBD"/>
    <w:rsid w:val="00B161D8"/>
    <w:rsid w:val="00B2023A"/>
    <w:rsid w:val="00B21ED2"/>
    <w:rsid w:val="00B23A4F"/>
    <w:rsid w:val="00B30555"/>
    <w:rsid w:val="00B32F00"/>
    <w:rsid w:val="00B35612"/>
    <w:rsid w:val="00B45FA8"/>
    <w:rsid w:val="00B51465"/>
    <w:rsid w:val="00B54242"/>
    <w:rsid w:val="00B552F3"/>
    <w:rsid w:val="00B55DE2"/>
    <w:rsid w:val="00B57638"/>
    <w:rsid w:val="00B678EB"/>
    <w:rsid w:val="00B7145D"/>
    <w:rsid w:val="00B8041F"/>
    <w:rsid w:val="00B82463"/>
    <w:rsid w:val="00B85100"/>
    <w:rsid w:val="00B91793"/>
    <w:rsid w:val="00B92371"/>
    <w:rsid w:val="00BA6CDB"/>
    <w:rsid w:val="00BA7539"/>
    <w:rsid w:val="00BA7CB9"/>
    <w:rsid w:val="00BB2A73"/>
    <w:rsid w:val="00BC1972"/>
    <w:rsid w:val="00BC1A20"/>
    <w:rsid w:val="00BC1D01"/>
    <w:rsid w:val="00BC4F17"/>
    <w:rsid w:val="00BC6EBA"/>
    <w:rsid w:val="00BD1A4F"/>
    <w:rsid w:val="00BD2F87"/>
    <w:rsid w:val="00BD3F0C"/>
    <w:rsid w:val="00BD646F"/>
    <w:rsid w:val="00BE4B50"/>
    <w:rsid w:val="00BF086A"/>
    <w:rsid w:val="00BF14DA"/>
    <w:rsid w:val="00BF30BB"/>
    <w:rsid w:val="00BF5C09"/>
    <w:rsid w:val="00BF5FE1"/>
    <w:rsid w:val="00C03B2E"/>
    <w:rsid w:val="00C03C0A"/>
    <w:rsid w:val="00C043EC"/>
    <w:rsid w:val="00C0691B"/>
    <w:rsid w:val="00C15E9B"/>
    <w:rsid w:val="00C16501"/>
    <w:rsid w:val="00C22D03"/>
    <w:rsid w:val="00C30F79"/>
    <w:rsid w:val="00C31E8A"/>
    <w:rsid w:val="00C34E0E"/>
    <w:rsid w:val="00C408CB"/>
    <w:rsid w:val="00C5008A"/>
    <w:rsid w:val="00C54EFD"/>
    <w:rsid w:val="00C557F3"/>
    <w:rsid w:val="00C62F64"/>
    <w:rsid w:val="00C64CEC"/>
    <w:rsid w:val="00C71D33"/>
    <w:rsid w:val="00C76FC7"/>
    <w:rsid w:val="00C7733D"/>
    <w:rsid w:val="00C97442"/>
    <w:rsid w:val="00CA4A18"/>
    <w:rsid w:val="00CA51B2"/>
    <w:rsid w:val="00CA64A1"/>
    <w:rsid w:val="00CA6704"/>
    <w:rsid w:val="00CB5BE2"/>
    <w:rsid w:val="00CB791C"/>
    <w:rsid w:val="00CC3FAF"/>
    <w:rsid w:val="00CC42F6"/>
    <w:rsid w:val="00CC5988"/>
    <w:rsid w:val="00CD35AE"/>
    <w:rsid w:val="00CD65F2"/>
    <w:rsid w:val="00CD686B"/>
    <w:rsid w:val="00CE1671"/>
    <w:rsid w:val="00CE58B1"/>
    <w:rsid w:val="00CF10D5"/>
    <w:rsid w:val="00CF4140"/>
    <w:rsid w:val="00CF45B5"/>
    <w:rsid w:val="00CF5255"/>
    <w:rsid w:val="00D03A25"/>
    <w:rsid w:val="00D14B58"/>
    <w:rsid w:val="00D14B6B"/>
    <w:rsid w:val="00D16E05"/>
    <w:rsid w:val="00D204DB"/>
    <w:rsid w:val="00D240C4"/>
    <w:rsid w:val="00D3024B"/>
    <w:rsid w:val="00D41938"/>
    <w:rsid w:val="00D42620"/>
    <w:rsid w:val="00D4477B"/>
    <w:rsid w:val="00D46CD9"/>
    <w:rsid w:val="00D5045B"/>
    <w:rsid w:val="00D514C0"/>
    <w:rsid w:val="00D51856"/>
    <w:rsid w:val="00D53B08"/>
    <w:rsid w:val="00D5578D"/>
    <w:rsid w:val="00D63115"/>
    <w:rsid w:val="00D737E7"/>
    <w:rsid w:val="00D76EAB"/>
    <w:rsid w:val="00D771B6"/>
    <w:rsid w:val="00D872A6"/>
    <w:rsid w:val="00D90454"/>
    <w:rsid w:val="00D95839"/>
    <w:rsid w:val="00D97D70"/>
    <w:rsid w:val="00DA1319"/>
    <w:rsid w:val="00DA591D"/>
    <w:rsid w:val="00DA6AB2"/>
    <w:rsid w:val="00DB2CDC"/>
    <w:rsid w:val="00DB2FFC"/>
    <w:rsid w:val="00DC085E"/>
    <w:rsid w:val="00DC1AFA"/>
    <w:rsid w:val="00DC3D37"/>
    <w:rsid w:val="00DC3DE9"/>
    <w:rsid w:val="00DC3E79"/>
    <w:rsid w:val="00DC7BCD"/>
    <w:rsid w:val="00DD35E4"/>
    <w:rsid w:val="00DD5FD6"/>
    <w:rsid w:val="00DD604B"/>
    <w:rsid w:val="00DE0AEF"/>
    <w:rsid w:val="00DE4138"/>
    <w:rsid w:val="00DE7038"/>
    <w:rsid w:val="00DF0471"/>
    <w:rsid w:val="00DF65E1"/>
    <w:rsid w:val="00E00BF9"/>
    <w:rsid w:val="00E00C35"/>
    <w:rsid w:val="00E02AFF"/>
    <w:rsid w:val="00E07218"/>
    <w:rsid w:val="00E14D15"/>
    <w:rsid w:val="00E20723"/>
    <w:rsid w:val="00E21D47"/>
    <w:rsid w:val="00E30410"/>
    <w:rsid w:val="00E32247"/>
    <w:rsid w:val="00E33045"/>
    <w:rsid w:val="00E40555"/>
    <w:rsid w:val="00E42DF9"/>
    <w:rsid w:val="00E44852"/>
    <w:rsid w:val="00E458BF"/>
    <w:rsid w:val="00E51F1B"/>
    <w:rsid w:val="00E56E2B"/>
    <w:rsid w:val="00E57174"/>
    <w:rsid w:val="00E57965"/>
    <w:rsid w:val="00E61F2E"/>
    <w:rsid w:val="00E644D4"/>
    <w:rsid w:val="00E71E93"/>
    <w:rsid w:val="00E71FD3"/>
    <w:rsid w:val="00E73821"/>
    <w:rsid w:val="00E74350"/>
    <w:rsid w:val="00E74EE6"/>
    <w:rsid w:val="00E77959"/>
    <w:rsid w:val="00E83B8E"/>
    <w:rsid w:val="00E86834"/>
    <w:rsid w:val="00E877DE"/>
    <w:rsid w:val="00E8795C"/>
    <w:rsid w:val="00E901C4"/>
    <w:rsid w:val="00E91599"/>
    <w:rsid w:val="00E9212C"/>
    <w:rsid w:val="00E97C7E"/>
    <w:rsid w:val="00EA38DD"/>
    <w:rsid w:val="00EA6892"/>
    <w:rsid w:val="00EB558E"/>
    <w:rsid w:val="00EC37F2"/>
    <w:rsid w:val="00ED3550"/>
    <w:rsid w:val="00ED459D"/>
    <w:rsid w:val="00ED67CF"/>
    <w:rsid w:val="00EE482B"/>
    <w:rsid w:val="00EE6523"/>
    <w:rsid w:val="00EF0ECB"/>
    <w:rsid w:val="00F02D71"/>
    <w:rsid w:val="00F045DF"/>
    <w:rsid w:val="00F06C45"/>
    <w:rsid w:val="00F128AB"/>
    <w:rsid w:val="00F22FB1"/>
    <w:rsid w:val="00F23D68"/>
    <w:rsid w:val="00F25AB9"/>
    <w:rsid w:val="00F3195E"/>
    <w:rsid w:val="00F324B2"/>
    <w:rsid w:val="00F32766"/>
    <w:rsid w:val="00F34FB6"/>
    <w:rsid w:val="00F40FC9"/>
    <w:rsid w:val="00F428A1"/>
    <w:rsid w:val="00F50794"/>
    <w:rsid w:val="00F51456"/>
    <w:rsid w:val="00F52323"/>
    <w:rsid w:val="00F570D5"/>
    <w:rsid w:val="00F61B07"/>
    <w:rsid w:val="00F6432C"/>
    <w:rsid w:val="00F6558F"/>
    <w:rsid w:val="00F73967"/>
    <w:rsid w:val="00F7671C"/>
    <w:rsid w:val="00F77FD1"/>
    <w:rsid w:val="00F8660A"/>
    <w:rsid w:val="00F92E7E"/>
    <w:rsid w:val="00F941F1"/>
    <w:rsid w:val="00F97AF1"/>
    <w:rsid w:val="00FA0E01"/>
    <w:rsid w:val="00FA3B58"/>
    <w:rsid w:val="00FB0A54"/>
    <w:rsid w:val="00FB345D"/>
    <w:rsid w:val="00FC2C7D"/>
    <w:rsid w:val="00FC4305"/>
    <w:rsid w:val="00FC5A35"/>
    <w:rsid w:val="00FD364D"/>
    <w:rsid w:val="00FE452D"/>
    <w:rsid w:val="00FF77D5"/>
    <w:rsid w:val="017ABAE3"/>
    <w:rsid w:val="0227B4D4"/>
    <w:rsid w:val="0273F2D7"/>
    <w:rsid w:val="02847096"/>
    <w:rsid w:val="02A78854"/>
    <w:rsid w:val="02D09729"/>
    <w:rsid w:val="03F75BC6"/>
    <w:rsid w:val="04CB4E4D"/>
    <w:rsid w:val="0559F850"/>
    <w:rsid w:val="05CD97DC"/>
    <w:rsid w:val="05DA0EAA"/>
    <w:rsid w:val="072EEF76"/>
    <w:rsid w:val="07767328"/>
    <w:rsid w:val="07C547BE"/>
    <w:rsid w:val="07E4545F"/>
    <w:rsid w:val="0945F12E"/>
    <w:rsid w:val="0A495B70"/>
    <w:rsid w:val="0AAA0FB5"/>
    <w:rsid w:val="0AE557B1"/>
    <w:rsid w:val="0AFEF033"/>
    <w:rsid w:val="0B424F51"/>
    <w:rsid w:val="0BC61ADF"/>
    <w:rsid w:val="0BF2E3B4"/>
    <w:rsid w:val="0C3FAF9A"/>
    <w:rsid w:val="0CA1BB72"/>
    <w:rsid w:val="0CF4C594"/>
    <w:rsid w:val="0E0B9BF9"/>
    <w:rsid w:val="0E46951C"/>
    <w:rsid w:val="0E942B5C"/>
    <w:rsid w:val="0E9D55A2"/>
    <w:rsid w:val="0EB468EF"/>
    <w:rsid w:val="0F793547"/>
    <w:rsid w:val="0FEB2758"/>
    <w:rsid w:val="0FEE1398"/>
    <w:rsid w:val="0FF71B14"/>
    <w:rsid w:val="1028F705"/>
    <w:rsid w:val="1332A23C"/>
    <w:rsid w:val="13F30137"/>
    <w:rsid w:val="1409C5F0"/>
    <w:rsid w:val="1419783F"/>
    <w:rsid w:val="14428E0D"/>
    <w:rsid w:val="15719ABF"/>
    <w:rsid w:val="159858AA"/>
    <w:rsid w:val="1609D532"/>
    <w:rsid w:val="16281AE5"/>
    <w:rsid w:val="163AE7A1"/>
    <w:rsid w:val="16CC9E4E"/>
    <w:rsid w:val="16CEE528"/>
    <w:rsid w:val="179FDD0B"/>
    <w:rsid w:val="17F84767"/>
    <w:rsid w:val="189CD9A1"/>
    <w:rsid w:val="18A5357B"/>
    <w:rsid w:val="1994678D"/>
    <w:rsid w:val="1B9BB7A7"/>
    <w:rsid w:val="1CB4E58D"/>
    <w:rsid w:val="1D433A66"/>
    <w:rsid w:val="1D6EE7B0"/>
    <w:rsid w:val="1DE61777"/>
    <w:rsid w:val="1E00E8EA"/>
    <w:rsid w:val="1F1C7557"/>
    <w:rsid w:val="1F4335D3"/>
    <w:rsid w:val="1FA4F6D4"/>
    <w:rsid w:val="1FEBEA3D"/>
    <w:rsid w:val="202C1E01"/>
    <w:rsid w:val="20ADA9A7"/>
    <w:rsid w:val="20B6A812"/>
    <w:rsid w:val="20B95E0F"/>
    <w:rsid w:val="219264CC"/>
    <w:rsid w:val="21B49060"/>
    <w:rsid w:val="21C3C8C5"/>
    <w:rsid w:val="21C6EEBB"/>
    <w:rsid w:val="22161593"/>
    <w:rsid w:val="22978F21"/>
    <w:rsid w:val="22DAB4D0"/>
    <w:rsid w:val="23E11973"/>
    <w:rsid w:val="23F30E1C"/>
    <w:rsid w:val="2473A99C"/>
    <w:rsid w:val="252771C1"/>
    <w:rsid w:val="257270AB"/>
    <w:rsid w:val="26165139"/>
    <w:rsid w:val="26B8DAA7"/>
    <w:rsid w:val="26BA1973"/>
    <w:rsid w:val="26CC46F6"/>
    <w:rsid w:val="26E9DF75"/>
    <w:rsid w:val="2766BF4A"/>
    <w:rsid w:val="27797770"/>
    <w:rsid w:val="2841C055"/>
    <w:rsid w:val="288912B5"/>
    <w:rsid w:val="28CB15EF"/>
    <w:rsid w:val="28D61529"/>
    <w:rsid w:val="290AD11C"/>
    <w:rsid w:val="2912B56D"/>
    <w:rsid w:val="294797A1"/>
    <w:rsid w:val="294FABE2"/>
    <w:rsid w:val="297D76DB"/>
    <w:rsid w:val="29DE8971"/>
    <w:rsid w:val="29FF2EEA"/>
    <w:rsid w:val="2ADC6F7E"/>
    <w:rsid w:val="2B47EB9D"/>
    <w:rsid w:val="2B90656A"/>
    <w:rsid w:val="2BBDEDDC"/>
    <w:rsid w:val="2C7DC609"/>
    <w:rsid w:val="2D14FBAC"/>
    <w:rsid w:val="2E2D6963"/>
    <w:rsid w:val="2EB123C8"/>
    <w:rsid w:val="2ECCD73C"/>
    <w:rsid w:val="304C45EA"/>
    <w:rsid w:val="30664389"/>
    <w:rsid w:val="30A8DD57"/>
    <w:rsid w:val="30E68052"/>
    <w:rsid w:val="3140CA5E"/>
    <w:rsid w:val="3186C5F0"/>
    <w:rsid w:val="31A81A3B"/>
    <w:rsid w:val="31C32DD2"/>
    <w:rsid w:val="31C38239"/>
    <w:rsid w:val="31E91FF0"/>
    <w:rsid w:val="32487D4B"/>
    <w:rsid w:val="330EB343"/>
    <w:rsid w:val="336CE10A"/>
    <w:rsid w:val="33CAD649"/>
    <w:rsid w:val="3409B81A"/>
    <w:rsid w:val="342DAADE"/>
    <w:rsid w:val="3443AA6B"/>
    <w:rsid w:val="3470430E"/>
    <w:rsid w:val="34D04AA8"/>
    <w:rsid w:val="35028EE6"/>
    <w:rsid w:val="351D7A12"/>
    <w:rsid w:val="354C440B"/>
    <w:rsid w:val="35593E7C"/>
    <w:rsid w:val="359CC1FA"/>
    <w:rsid w:val="35A4A33A"/>
    <w:rsid w:val="36181C5A"/>
    <w:rsid w:val="364AA9B7"/>
    <w:rsid w:val="3696D628"/>
    <w:rsid w:val="36EEEFFB"/>
    <w:rsid w:val="378B2B56"/>
    <w:rsid w:val="37F5BCB7"/>
    <w:rsid w:val="38786001"/>
    <w:rsid w:val="38CB5601"/>
    <w:rsid w:val="39247B4B"/>
    <w:rsid w:val="398B28F6"/>
    <w:rsid w:val="39F42A9E"/>
    <w:rsid w:val="3A153916"/>
    <w:rsid w:val="3A2A142B"/>
    <w:rsid w:val="3AF0B95E"/>
    <w:rsid w:val="3B1A026E"/>
    <w:rsid w:val="3C11994B"/>
    <w:rsid w:val="3C526C8E"/>
    <w:rsid w:val="3D0273F4"/>
    <w:rsid w:val="3D0CA011"/>
    <w:rsid w:val="3D6C3612"/>
    <w:rsid w:val="3DE2812A"/>
    <w:rsid w:val="3E070B9E"/>
    <w:rsid w:val="3E556FF2"/>
    <w:rsid w:val="3E5CFD19"/>
    <w:rsid w:val="3E6ADBF0"/>
    <w:rsid w:val="3F8F1749"/>
    <w:rsid w:val="3FB10946"/>
    <w:rsid w:val="411F079A"/>
    <w:rsid w:val="414748DE"/>
    <w:rsid w:val="41BCA1A3"/>
    <w:rsid w:val="426B7569"/>
    <w:rsid w:val="43509B22"/>
    <w:rsid w:val="43EB3B13"/>
    <w:rsid w:val="43FCF404"/>
    <w:rsid w:val="4460591C"/>
    <w:rsid w:val="44DDCE41"/>
    <w:rsid w:val="456867ED"/>
    <w:rsid w:val="45690748"/>
    <w:rsid w:val="46062BB0"/>
    <w:rsid w:val="466D5029"/>
    <w:rsid w:val="466E0531"/>
    <w:rsid w:val="46A19830"/>
    <w:rsid w:val="47404F8B"/>
    <w:rsid w:val="4761F667"/>
    <w:rsid w:val="47C31811"/>
    <w:rsid w:val="481BD0B7"/>
    <w:rsid w:val="487F8719"/>
    <w:rsid w:val="48819C8C"/>
    <w:rsid w:val="49151BC7"/>
    <w:rsid w:val="4A510C4B"/>
    <w:rsid w:val="4AA52596"/>
    <w:rsid w:val="4BA9551E"/>
    <w:rsid w:val="4CC8281C"/>
    <w:rsid w:val="4CCA3295"/>
    <w:rsid w:val="4CDAE942"/>
    <w:rsid w:val="4D6B609D"/>
    <w:rsid w:val="4D854EF3"/>
    <w:rsid w:val="4DDFBD46"/>
    <w:rsid w:val="4EA0EDF7"/>
    <w:rsid w:val="4EADCC77"/>
    <w:rsid w:val="4EB91D56"/>
    <w:rsid w:val="4EC7075D"/>
    <w:rsid w:val="4F2CDC14"/>
    <w:rsid w:val="502485DC"/>
    <w:rsid w:val="50AC1A4F"/>
    <w:rsid w:val="51082BCA"/>
    <w:rsid w:val="51449699"/>
    <w:rsid w:val="5195135A"/>
    <w:rsid w:val="5292F992"/>
    <w:rsid w:val="52E5C8E3"/>
    <w:rsid w:val="5301EDDA"/>
    <w:rsid w:val="5326467D"/>
    <w:rsid w:val="5332488D"/>
    <w:rsid w:val="534F8704"/>
    <w:rsid w:val="5369CF06"/>
    <w:rsid w:val="536E7511"/>
    <w:rsid w:val="53747C80"/>
    <w:rsid w:val="53A19989"/>
    <w:rsid w:val="541C8C01"/>
    <w:rsid w:val="54D9099D"/>
    <w:rsid w:val="5525A857"/>
    <w:rsid w:val="5535336C"/>
    <w:rsid w:val="55D70DF0"/>
    <w:rsid w:val="573EF7C0"/>
    <w:rsid w:val="575AFF29"/>
    <w:rsid w:val="57BF2DC8"/>
    <w:rsid w:val="58EFBACE"/>
    <w:rsid w:val="592D4EC7"/>
    <w:rsid w:val="59745E41"/>
    <w:rsid w:val="5A5A20C7"/>
    <w:rsid w:val="5AE2A724"/>
    <w:rsid w:val="5B283414"/>
    <w:rsid w:val="5B5464E3"/>
    <w:rsid w:val="5BBE75DB"/>
    <w:rsid w:val="5BC52A61"/>
    <w:rsid w:val="5C056793"/>
    <w:rsid w:val="5CC3205D"/>
    <w:rsid w:val="5D9945C0"/>
    <w:rsid w:val="5DE42790"/>
    <w:rsid w:val="5E16A43D"/>
    <w:rsid w:val="5E74AE07"/>
    <w:rsid w:val="5EA9D3E0"/>
    <w:rsid w:val="5ED24951"/>
    <w:rsid w:val="5F981704"/>
    <w:rsid w:val="6034CACE"/>
    <w:rsid w:val="604860AF"/>
    <w:rsid w:val="6086CE9C"/>
    <w:rsid w:val="60F26C1E"/>
    <w:rsid w:val="60F6D2CF"/>
    <w:rsid w:val="6109D5C6"/>
    <w:rsid w:val="6172FE2C"/>
    <w:rsid w:val="62EBDA4F"/>
    <w:rsid w:val="62F87615"/>
    <w:rsid w:val="636C9863"/>
    <w:rsid w:val="638F45AF"/>
    <w:rsid w:val="63DFBFCC"/>
    <w:rsid w:val="658B8750"/>
    <w:rsid w:val="65EFE95B"/>
    <w:rsid w:val="66C5E582"/>
    <w:rsid w:val="672E8F35"/>
    <w:rsid w:val="685B29E9"/>
    <w:rsid w:val="68B7C5C3"/>
    <w:rsid w:val="69425C86"/>
    <w:rsid w:val="69A82CE2"/>
    <w:rsid w:val="6ABA9DFA"/>
    <w:rsid w:val="6B88526A"/>
    <w:rsid w:val="6B886833"/>
    <w:rsid w:val="6B991C21"/>
    <w:rsid w:val="6BA5851A"/>
    <w:rsid w:val="6BB5F157"/>
    <w:rsid w:val="6BC5B099"/>
    <w:rsid w:val="6BCDF857"/>
    <w:rsid w:val="6DB60666"/>
    <w:rsid w:val="6DDA92B2"/>
    <w:rsid w:val="6DE1305F"/>
    <w:rsid w:val="6EB7DE17"/>
    <w:rsid w:val="6F40E230"/>
    <w:rsid w:val="6FB68206"/>
    <w:rsid w:val="703EB56D"/>
    <w:rsid w:val="70C31BE2"/>
    <w:rsid w:val="71F63D01"/>
    <w:rsid w:val="72394F2B"/>
    <w:rsid w:val="728DA4F9"/>
    <w:rsid w:val="72BBE738"/>
    <w:rsid w:val="7318F929"/>
    <w:rsid w:val="73402F2A"/>
    <w:rsid w:val="7411B16D"/>
    <w:rsid w:val="744764DB"/>
    <w:rsid w:val="74923A52"/>
    <w:rsid w:val="7542A43D"/>
    <w:rsid w:val="7615A8A4"/>
    <w:rsid w:val="764B8324"/>
    <w:rsid w:val="764DFAFB"/>
    <w:rsid w:val="767A7857"/>
    <w:rsid w:val="77482394"/>
    <w:rsid w:val="7854415B"/>
    <w:rsid w:val="7AB38417"/>
    <w:rsid w:val="7AE7E1D9"/>
    <w:rsid w:val="7B51FA6C"/>
    <w:rsid w:val="7B8D68D7"/>
    <w:rsid w:val="7C30C7B9"/>
    <w:rsid w:val="7C3C4DCB"/>
    <w:rsid w:val="7C575715"/>
    <w:rsid w:val="7CF4A2C0"/>
    <w:rsid w:val="7D103C40"/>
    <w:rsid w:val="7D2F8A53"/>
    <w:rsid w:val="7E0538FA"/>
    <w:rsid w:val="7E3813E8"/>
    <w:rsid w:val="7E64FF89"/>
    <w:rsid w:val="7ECCB7FE"/>
    <w:rsid w:val="7F8F1F5E"/>
    <w:rsid w:val="7FABE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1DDB7"/>
  <w15:chartTrackingRefBased/>
  <w15:docId w15:val="{D42DDCCF-BCB7-42B3-BABB-B88B8E9A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1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2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D364D"/>
    <w:pPr>
      <w:widowControl w:val="0"/>
      <w:autoSpaceDE w:val="0"/>
      <w:autoSpaceDN w:val="0"/>
      <w:spacing w:before="39" w:after="0" w:line="240" w:lineRule="auto"/>
      <w:ind w:left="46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008"/>
    <w:rPr>
      <w:b/>
      <w:bCs/>
    </w:rPr>
  </w:style>
  <w:style w:type="paragraph" w:styleId="ListParagraph">
    <w:name w:val="List Paragraph"/>
    <w:basedOn w:val="Normal"/>
    <w:uiPriority w:val="34"/>
    <w:qFormat/>
    <w:rsid w:val="00E74EE6"/>
    <w:pPr>
      <w:ind w:left="720"/>
      <w:contextualSpacing/>
    </w:pPr>
  </w:style>
  <w:style w:type="paragraph" w:styleId="Header">
    <w:name w:val="header"/>
    <w:basedOn w:val="Normal"/>
    <w:link w:val="HeaderChar"/>
    <w:uiPriority w:val="99"/>
    <w:unhideWhenUsed/>
    <w:rsid w:val="00965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FD"/>
  </w:style>
  <w:style w:type="paragraph" w:styleId="Footer">
    <w:name w:val="footer"/>
    <w:basedOn w:val="Normal"/>
    <w:link w:val="FooterChar"/>
    <w:uiPriority w:val="99"/>
    <w:unhideWhenUsed/>
    <w:rsid w:val="00965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FD"/>
  </w:style>
  <w:style w:type="paragraph" w:customStyle="1" w:styleId="TableParagraph">
    <w:name w:val="Table Paragraph"/>
    <w:basedOn w:val="Normal"/>
    <w:uiPriority w:val="1"/>
    <w:qFormat/>
    <w:rsid w:val="00DD604B"/>
    <w:pPr>
      <w:widowControl w:val="0"/>
      <w:autoSpaceDE w:val="0"/>
      <w:autoSpaceDN w:val="0"/>
      <w:spacing w:before="68" w:after="0" w:line="240" w:lineRule="auto"/>
      <w:jc w:val="right"/>
    </w:pPr>
    <w:rPr>
      <w:rFonts w:ascii="Calibri" w:eastAsia="Calibri" w:hAnsi="Calibri" w:cs="Calibri"/>
    </w:rPr>
  </w:style>
  <w:style w:type="character" w:customStyle="1" w:styleId="Heading3Char">
    <w:name w:val="Heading 3 Char"/>
    <w:basedOn w:val="DefaultParagraphFont"/>
    <w:link w:val="Heading3"/>
    <w:uiPriority w:val="9"/>
    <w:rsid w:val="00FD364D"/>
    <w:rPr>
      <w:rFonts w:ascii="Calibri" w:eastAsia="Calibri" w:hAnsi="Calibri" w:cs="Calibri"/>
      <w:b/>
      <w:bCs/>
      <w:sz w:val="24"/>
      <w:szCs w:val="24"/>
    </w:rPr>
  </w:style>
  <w:style w:type="paragraph" w:styleId="BodyText">
    <w:name w:val="Body Text"/>
    <w:basedOn w:val="Normal"/>
    <w:link w:val="BodyTextChar"/>
    <w:uiPriority w:val="1"/>
    <w:qFormat/>
    <w:rsid w:val="00FD364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D364D"/>
    <w:rPr>
      <w:rFonts w:ascii="Calibri" w:eastAsia="Calibri" w:hAnsi="Calibri" w:cs="Calibri"/>
      <w:sz w:val="24"/>
      <w:szCs w:val="24"/>
    </w:rPr>
  </w:style>
  <w:style w:type="character" w:customStyle="1" w:styleId="Heading2Char">
    <w:name w:val="Heading 2 Char"/>
    <w:basedOn w:val="DefaultParagraphFont"/>
    <w:link w:val="Heading2"/>
    <w:uiPriority w:val="9"/>
    <w:rsid w:val="00E9212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F0322"/>
    <w:rPr>
      <w:color w:val="0000FF"/>
      <w:u w:val="single"/>
    </w:rPr>
  </w:style>
  <w:style w:type="paragraph" w:customStyle="1" w:styleId="p1">
    <w:name w:val="p1"/>
    <w:basedOn w:val="Normal"/>
    <w:rsid w:val="00F77F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1">
    <w:name w:val="li1"/>
    <w:basedOn w:val="Normal"/>
    <w:rsid w:val="00F77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3361EC"/>
  </w:style>
  <w:style w:type="character" w:styleId="UnresolvedMention">
    <w:name w:val="Unresolved Mention"/>
    <w:basedOn w:val="DefaultParagraphFont"/>
    <w:uiPriority w:val="99"/>
    <w:semiHidden/>
    <w:unhideWhenUsed/>
    <w:rsid w:val="006D3A72"/>
    <w:rPr>
      <w:color w:val="605E5C"/>
      <w:shd w:val="clear" w:color="auto" w:fill="E1DFDD"/>
    </w:rPr>
  </w:style>
  <w:style w:type="table" w:styleId="TableGrid">
    <w:name w:val="Table Grid"/>
    <w:basedOn w:val="TableNormal"/>
    <w:uiPriority w:val="39"/>
    <w:rsid w:val="003E39D2"/>
    <w:pPr>
      <w:spacing w:after="0" w:line="240" w:lineRule="auto"/>
    </w:pPr>
    <w:tblPr/>
  </w:style>
  <w:style w:type="paragraph" w:styleId="Revision">
    <w:name w:val="Revision"/>
    <w:hidden/>
    <w:uiPriority w:val="99"/>
    <w:semiHidden/>
    <w:rsid w:val="00E30410"/>
    <w:pPr>
      <w:spacing w:after="0" w:line="240" w:lineRule="auto"/>
    </w:pPr>
  </w:style>
  <w:style w:type="character" w:styleId="CommentReference">
    <w:name w:val="annotation reference"/>
    <w:basedOn w:val="DefaultParagraphFont"/>
    <w:uiPriority w:val="99"/>
    <w:semiHidden/>
    <w:unhideWhenUsed/>
    <w:rsid w:val="009B5C23"/>
    <w:rPr>
      <w:sz w:val="16"/>
      <w:szCs w:val="16"/>
    </w:rPr>
  </w:style>
  <w:style w:type="paragraph" w:styleId="CommentText">
    <w:name w:val="annotation text"/>
    <w:basedOn w:val="Normal"/>
    <w:link w:val="CommentTextChar"/>
    <w:uiPriority w:val="99"/>
    <w:semiHidden/>
    <w:unhideWhenUsed/>
    <w:rsid w:val="009B5C23"/>
    <w:pPr>
      <w:spacing w:line="240" w:lineRule="auto"/>
    </w:pPr>
    <w:rPr>
      <w:sz w:val="20"/>
      <w:szCs w:val="20"/>
    </w:rPr>
  </w:style>
  <w:style w:type="character" w:customStyle="1" w:styleId="CommentTextChar">
    <w:name w:val="Comment Text Char"/>
    <w:basedOn w:val="DefaultParagraphFont"/>
    <w:link w:val="CommentText"/>
    <w:uiPriority w:val="99"/>
    <w:semiHidden/>
    <w:rsid w:val="009B5C23"/>
    <w:rPr>
      <w:sz w:val="20"/>
      <w:szCs w:val="20"/>
    </w:rPr>
  </w:style>
  <w:style w:type="paragraph" w:styleId="CommentSubject">
    <w:name w:val="annotation subject"/>
    <w:basedOn w:val="CommentText"/>
    <w:next w:val="CommentText"/>
    <w:link w:val="CommentSubjectChar"/>
    <w:uiPriority w:val="99"/>
    <w:semiHidden/>
    <w:unhideWhenUsed/>
    <w:rsid w:val="009B5C23"/>
    <w:rPr>
      <w:b/>
      <w:bCs/>
    </w:rPr>
  </w:style>
  <w:style w:type="character" w:customStyle="1" w:styleId="CommentSubjectChar">
    <w:name w:val="Comment Subject Char"/>
    <w:basedOn w:val="CommentTextChar"/>
    <w:link w:val="CommentSubject"/>
    <w:uiPriority w:val="99"/>
    <w:semiHidden/>
    <w:rsid w:val="009B5C23"/>
    <w:rPr>
      <w:b/>
      <w:bCs/>
      <w:sz w:val="20"/>
      <w:szCs w:val="20"/>
    </w:rPr>
  </w:style>
  <w:style w:type="paragraph" w:styleId="NoSpacing">
    <w:name w:val="No Spacing"/>
    <w:link w:val="NoSpacingChar"/>
    <w:uiPriority w:val="1"/>
    <w:qFormat/>
    <w:rsid w:val="005B2D8F"/>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5B2D8F"/>
    <w:rPr>
      <w:rFonts w:eastAsiaTheme="minorEastAsia"/>
      <w:lang w:eastAsia="zh-CN"/>
    </w:rPr>
  </w:style>
  <w:style w:type="character" w:customStyle="1" w:styleId="Heading1Char">
    <w:name w:val="Heading 1 Char"/>
    <w:basedOn w:val="DefaultParagraphFont"/>
    <w:link w:val="Heading1"/>
    <w:uiPriority w:val="9"/>
    <w:rsid w:val="002611F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11F4"/>
    <w:pPr>
      <w:spacing w:before="480" w:line="276" w:lineRule="auto"/>
      <w:outlineLvl w:val="9"/>
    </w:pPr>
    <w:rPr>
      <w:b/>
      <w:bCs/>
      <w:sz w:val="28"/>
      <w:szCs w:val="28"/>
    </w:rPr>
  </w:style>
  <w:style w:type="paragraph" w:styleId="TOC2">
    <w:name w:val="toc 2"/>
    <w:basedOn w:val="Normal"/>
    <w:next w:val="Normal"/>
    <w:autoRedefine/>
    <w:uiPriority w:val="39"/>
    <w:unhideWhenUsed/>
    <w:rsid w:val="00ED67CF"/>
    <w:pPr>
      <w:tabs>
        <w:tab w:val="right" w:leader="dot" w:pos="9350"/>
      </w:tabs>
      <w:spacing w:before="120" w:after="0"/>
      <w:ind w:left="220"/>
    </w:pPr>
    <w:rPr>
      <w:rFonts w:cstheme="minorHAnsi"/>
      <w:b/>
      <w:bCs/>
    </w:rPr>
  </w:style>
  <w:style w:type="paragraph" w:styleId="TOC3">
    <w:name w:val="toc 3"/>
    <w:basedOn w:val="Normal"/>
    <w:next w:val="Normal"/>
    <w:autoRedefine/>
    <w:uiPriority w:val="39"/>
    <w:unhideWhenUsed/>
    <w:rsid w:val="002611F4"/>
    <w:pPr>
      <w:spacing w:after="0"/>
      <w:ind w:left="440"/>
    </w:pPr>
    <w:rPr>
      <w:rFonts w:cstheme="minorHAnsi"/>
      <w:sz w:val="20"/>
      <w:szCs w:val="20"/>
    </w:rPr>
  </w:style>
  <w:style w:type="paragraph" w:styleId="TOC1">
    <w:name w:val="toc 1"/>
    <w:basedOn w:val="Normal"/>
    <w:next w:val="Normal"/>
    <w:autoRedefine/>
    <w:uiPriority w:val="39"/>
    <w:unhideWhenUsed/>
    <w:rsid w:val="00802E62"/>
    <w:pPr>
      <w:tabs>
        <w:tab w:val="right" w:leader="dot" w:pos="9350"/>
      </w:tabs>
      <w:spacing w:before="120" w:after="0"/>
    </w:pPr>
    <w:rPr>
      <w:rFonts w:cstheme="minorHAnsi"/>
      <w:b/>
      <w:bCs/>
      <w:i/>
      <w:iCs/>
      <w:sz w:val="24"/>
      <w:szCs w:val="24"/>
    </w:rPr>
  </w:style>
  <w:style w:type="paragraph" w:styleId="TOC4">
    <w:name w:val="toc 4"/>
    <w:basedOn w:val="Normal"/>
    <w:next w:val="Normal"/>
    <w:autoRedefine/>
    <w:uiPriority w:val="39"/>
    <w:semiHidden/>
    <w:unhideWhenUsed/>
    <w:rsid w:val="002611F4"/>
    <w:pPr>
      <w:spacing w:after="0"/>
      <w:ind w:left="660"/>
    </w:pPr>
    <w:rPr>
      <w:rFonts w:cstheme="minorHAnsi"/>
      <w:sz w:val="20"/>
      <w:szCs w:val="20"/>
    </w:rPr>
  </w:style>
  <w:style w:type="paragraph" w:styleId="TOC5">
    <w:name w:val="toc 5"/>
    <w:basedOn w:val="Normal"/>
    <w:next w:val="Normal"/>
    <w:autoRedefine/>
    <w:uiPriority w:val="39"/>
    <w:semiHidden/>
    <w:unhideWhenUsed/>
    <w:rsid w:val="002611F4"/>
    <w:pPr>
      <w:spacing w:after="0"/>
      <w:ind w:left="880"/>
    </w:pPr>
    <w:rPr>
      <w:rFonts w:cstheme="minorHAnsi"/>
      <w:sz w:val="20"/>
      <w:szCs w:val="20"/>
    </w:rPr>
  </w:style>
  <w:style w:type="paragraph" w:styleId="TOC6">
    <w:name w:val="toc 6"/>
    <w:basedOn w:val="Normal"/>
    <w:next w:val="Normal"/>
    <w:autoRedefine/>
    <w:uiPriority w:val="39"/>
    <w:semiHidden/>
    <w:unhideWhenUsed/>
    <w:rsid w:val="002611F4"/>
    <w:pPr>
      <w:spacing w:after="0"/>
      <w:ind w:left="1100"/>
    </w:pPr>
    <w:rPr>
      <w:rFonts w:cstheme="minorHAnsi"/>
      <w:sz w:val="20"/>
      <w:szCs w:val="20"/>
    </w:rPr>
  </w:style>
  <w:style w:type="paragraph" w:styleId="TOC7">
    <w:name w:val="toc 7"/>
    <w:basedOn w:val="Normal"/>
    <w:next w:val="Normal"/>
    <w:autoRedefine/>
    <w:uiPriority w:val="39"/>
    <w:semiHidden/>
    <w:unhideWhenUsed/>
    <w:rsid w:val="002611F4"/>
    <w:pPr>
      <w:spacing w:after="0"/>
      <w:ind w:left="1320"/>
    </w:pPr>
    <w:rPr>
      <w:rFonts w:cstheme="minorHAnsi"/>
      <w:sz w:val="20"/>
      <w:szCs w:val="20"/>
    </w:rPr>
  </w:style>
  <w:style w:type="paragraph" w:styleId="TOC8">
    <w:name w:val="toc 8"/>
    <w:basedOn w:val="Normal"/>
    <w:next w:val="Normal"/>
    <w:autoRedefine/>
    <w:uiPriority w:val="39"/>
    <w:semiHidden/>
    <w:unhideWhenUsed/>
    <w:rsid w:val="002611F4"/>
    <w:pPr>
      <w:spacing w:after="0"/>
      <w:ind w:left="1540"/>
    </w:pPr>
    <w:rPr>
      <w:rFonts w:cstheme="minorHAnsi"/>
      <w:sz w:val="20"/>
      <w:szCs w:val="20"/>
    </w:rPr>
  </w:style>
  <w:style w:type="paragraph" w:styleId="TOC9">
    <w:name w:val="toc 9"/>
    <w:basedOn w:val="Normal"/>
    <w:next w:val="Normal"/>
    <w:autoRedefine/>
    <w:uiPriority w:val="39"/>
    <w:semiHidden/>
    <w:unhideWhenUsed/>
    <w:rsid w:val="002611F4"/>
    <w:pPr>
      <w:spacing w:after="0"/>
      <w:ind w:left="1760"/>
    </w:pPr>
    <w:rPr>
      <w:rFonts w:cstheme="minorHAnsi"/>
      <w:sz w:val="20"/>
      <w:szCs w:val="20"/>
    </w:rPr>
  </w:style>
  <w:style w:type="paragraph" w:styleId="NormalWeb">
    <w:name w:val="Normal (Web)"/>
    <w:basedOn w:val="Normal"/>
    <w:uiPriority w:val="99"/>
    <w:semiHidden/>
    <w:unhideWhenUsed/>
    <w:rsid w:val="00B2023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2023A"/>
    <w:rPr>
      <w:color w:val="954F72" w:themeColor="followedHyperlink"/>
      <w:u w:val="single"/>
    </w:rPr>
  </w:style>
  <w:style w:type="paragraph" w:styleId="Title">
    <w:name w:val="Title"/>
    <w:basedOn w:val="Normal"/>
    <w:next w:val="Normal"/>
    <w:link w:val="TitleChar"/>
    <w:uiPriority w:val="10"/>
    <w:qFormat/>
    <w:rsid w:val="00DC3D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DE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3988">
      <w:bodyDiv w:val="1"/>
      <w:marLeft w:val="0"/>
      <w:marRight w:val="0"/>
      <w:marTop w:val="0"/>
      <w:marBottom w:val="0"/>
      <w:divBdr>
        <w:top w:val="none" w:sz="0" w:space="0" w:color="auto"/>
        <w:left w:val="none" w:sz="0" w:space="0" w:color="auto"/>
        <w:bottom w:val="none" w:sz="0" w:space="0" w:color="auto"/>
        <w:right w:val="none" w:sz="0" w:space="0" w:color="auto"/>
      </w:divBdr>
      <w:divsChild>
        <w:div w:id="840780962">
          <w:marLeft w:val="0"/>
          <w:marRight w:val="0"/>
          <w:marTop w:val="0"/>
          <w:marBottom w:val="0"/>
          <w:divBdr>
            <w:top w:val="none" w:sz="0" w:space="0" w:color="auto"/>
            <w:left w:val="none" w:sz="0" w:space="0" w:color="auto"/>
            <w:bottom w:val="none" w:sz="0" w:space="0" w:color="auto"/>
            <w:right w:val="none" w:sz="0" w:space="0" w:color="auto"/>
          </w:divBdr>
          <w:divsChild>
            <w:div w:id="983437590">
              <w:marLeft w:val="0"/>
              <w:marRight w:val="0"/>
              <w:marTop w:val="0"/>
              <w:marBottom w:val="0"/>
              <w:divBdr>
                <w:top w:val="none" w:sz="0" w:space="0" w:color="auto"/>
                <w:left w:val="none" w:sz="0" w:space="0" w:color="auto"/>
                <w:bottom w:val="none" w:sz="0" w:space="0" w:color="auto"/>
                <w:right w:val="none" w:sz="0" w:space="0" w:color="auto"/>
              </w:divBdr>
              <w:divsChild>
                <w:div w:id="1116099378">
                  <w:marLeft w:val="0"/>
                  <w:marRight w:val="0"/>
                  <w:marTop w:val="0"/>
                  <w:marBottom w:val="0"/>
                  <w:divBdr>
                    <w:top w:val="none" w:sz="0" w:space="0" w:color="auto"/>
                    <w:left w:val="none" w:sz="0" w:space="0" w:color="auto"/>
                    <w:bottom w:val="none" w:sz="0" w:space="0" w:color="auto"/>
                    <w:right w:val="none" w:sz="0" w:space="0" w:color="auto"/>
                  </w:divBdr>
                </w:div>
              </w:divsChild>
            </w:div>
            <w:div w:id="1462840451">
              <w:marLeft w:val="0"/>
              <w:marRight w:val="0"/>
              <w:marTop w:val="0"/>
              <w:marBottom w:val="0"/>
              <w:divBdr>
                <w:top w:val="none" w:sz="0" w:space="0" w:color="auto"/>
                <w:left w:val="none" w:sz="0" w:space="0" w:color="auto"/>
                <w:bottom w:val="none" w:sz="0" w:space="0" w:color="auto"/>
                <w:right w:val="none" w:sz="0" w:space="0" w:color="auto"/>
              </w:divBdr>
              <w:divsChild>
                <w:div w:id="16549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9756">
      <w:bodyDiv w:val="1"/>
      <w:marLeft w:val="0"/>
      <w:marRight w:val="0"/>
      <w:marTop w:val="0"/>
      <w:marBottom w:val="0"/>
      <w:divBdr>
        <w:top w:val="none" w:sz="0" w:space="0" w:color="auto"/>
        <w:left w:val="none" w:sz="0" w:space="0" w:color="auto"/>
        <w:bottom w:val="none" w:sz="0" w:space="0" w:color="auto"/>
        <w:right w:val="none" w:sz="0" w:space="0" w:color="auto"/>
      </w:divBdr>
    </w:div>
    <w:div w:id="284778336">
      <w:bodyDiv w:val="1"/>
      <w:marLeft w:val="0"/>
      <w:marRight w:val="0"/>
      <w:marTop w:val="0"/>
      <w:marBottom w:val="0"/>
      <w:divBdr>
        <w:top w:val="none" w:sz="0" w:space="0" w:color="auto"/>
        <w:left w:val="none" w:sz="0" w:space="0" w:color="auto"/>
        <w:bottom w:val="none" w:sz="0" w:space="0" w:color="auto"/>
        <w:right w:val="none" w:sz="0" w:space="0" w:color="auto"/>
      </w:divBdr>
    </w:div>
    <w:div w:id="312099808">
      <w:bodyDiv w:val="1"/>
      <w:marLeft w:val="0"/>
      <w:marRight w:val="0"/>
      <w:marTop w:val="0"/>
      <w:marBottom w:val="0"/>
      <w:divBdr>
        <w:top w:val="none" w:sz="0" w:space="0" w:color="auto"/>
        <w:left w:val="none" w:sz="0" w:space="0" w:color="auto"/>
        <w:bottom w:val="none" w:sz="0" w:space="0" w:color="auto"/>
        <w:right w:val="none" w:sz="0" w:space="0" w:color="auto"/>
      </w:divBdr>
      <w:divsChild>
        <w:div w:id="391658854">
          <w:marLeft w:val="0"/>
          <w:marRight w:val="0"/>
          <w:marTop w:val="0"/>
          <w:marBottom w:val="0"/>
          <w:divBdr>
            <w:top w:val="none" w:sz="0" w:space="0" w:color="auto"/>
            <w:left w:val="none" w:sz="0" w:space="0" w:color="auto"/>
            <w:bottom w:val="none" w:sz="0" w:space="0" w:color="auto"/>
            <w:right w:val="none" w:sz="0" w:space="0" w:color="auto"/>
          </w:divBdr>
        </w:div>
      </w:divsChild>
    </w:div>
    <w:div w:id="317543399">
      <w:bodyDiv w:val="1"/>
      <w:marLeft w:val="0"/>
      <w:marRight w:val="0"/>
      <w:marTop w:val="0"/>
      <w:marBottom w:val="0"/>
      <w:divBdr>
        <w:top w:val="none" w:sz="0" w:space="0" w:color="auto"/>
        <w:left w:val="none" w:sz="0" w:space="0" w:color="auto"/>
        <w:bottom w:val="none" w:sz="0" w:space="0" w:color="auto"/>
        <w:right w:val="none" w:sz="0" w:space="0" w:color="auto"/>
      </w:divBdr>
    </w:div>
    <w:div w:id="326132714">
      <w:bodyDiv w:val="1"/>
      <w:marLeft w:val="0"/>
      <w:marRight w:val="0"/>
      <w:marTop w:val="0"/>
      <w:marBottom w:val="0"/>
      <w:divBdr>
        <w:top w:val="none" w:sz="0" w:space="0" w:color="auto"/>
        <w:left w:val="none" w:sz="0" w:space="0" w:color="auto"/>
        <w:bottom w:val="none" w:sz="0" w:space="0" w:color="auto"/>
        <w:right w:val="none" w:sz="0" w:space="0" w:color="auto"/>
      </w:divBdr>
      <w:divsChild>
        <w:div w:id="67312285">
          <w:marLeft w:val="0"/>
          <w:marRight w:val="0"/>
          <w:marTop w:val="0"/>
          <w:marBottom w:val="0"/>
          <w:divBdr>
            <w:top w:val="none" w:sz="0" w:space="0" w:color="auto"/>
            <w:left w:val="none" w:sz="0" w:space="0" w:color="auto"/>
            <w:bottom w:val="none" w:sz="0" w:space="0" w:color="auto"/>
            <w:right w:val="none" w:sz="0" w:space="0" w:color="auto"/>
          </w:divBdr>
          <w:divsChild>
            <w:div w:id="840394369">
              <w:marLeft w:val="0"/>
              <w:marRight w:val="0"/>
              <w:marTop w:val="0"/>
              <w:marBottom w:val="0"/>
              <w:divBdr>
                <w:top w:val="none" w:sz="0" w:space="0" w:color="auto"/>
                <w:left w:val="none" w:sz="0" w:space="0" w:color="auto"/>
                <w:bottom w:val="none" w:sz="0" w:space="0" w:color="auto"/>
                <w:right w:val="none" w:sz="0" w:space="0" w:color="auto"/>
              </w:divBdr>
              <w:divsChild>
                <w:div w:id="336464678">
                  <w:marLeft w:val="0"/>
                  <w:marRight w:val="0"/>
                  <w:marTop w:val="0"/>
                  <w:marBottom w:val="0"/>
                  <w:divBdr>
                    <w:top w:val="none" w:sz="0" w:space="0" w:color="auto"/>
                    <w:left w:val="none" w:sz="0" w:space="0" w:color="auto"/>
                    <w:bottom w:val="none" w:sz="0" w:space="0" w:color="auto"/>
                    <w:right w:val="none" w:sz="0" w:space="0" w:color="auto"/>
                  </w:divBdr>
                  <w:divsChild>
                    <w:div w:id="1540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659334">
      <w:bodyDiv w:val="1"/>
      <w:marLeft w:val="0"/>
      <w:marRight w:val="0"/>
      <w:marTop w:val="0"/>
      <w:marBottom w:val="0"/>
      <w:divBdr>
        <w:top w:val="none" w:sz="0" w:space="0" w:color="auto"/>
        <w:left w:val="none" w:sz="0" w:space="0" w:color="auto"/>
        <w:bottom w:val="none" w:sz="0" w:space="0" w:color="auto"/>
        <w:right w:val="none" w:sz="0" w:space="0" w:color="auto"/>
      </w:divBdr>
    </w:div>
    <w:div w:id="423499023">
      <w:bodyDiv w:val="1"/>
      <w:marLeft w:val="0"/>
      <w:marRight w:val="0"/>
      <w:marTop w:val="0"/>
      <w:marBottom w:val="0"/>
      <w:divBdr>
        <w:top w:val="none" w:sz="0" w:space="0" w:color="auto"/>
        <w:left w:val="none" w:sz="0" w:space="0" w:color="auto"/>
        <w:bottom w:val="none" w:sz="0" w:space="0" w:color="auto"/>
        <w:right w:val="none" w:sz="0" w:space="0" w:color="auto"/>
      </w:divBdr>
      <w:divsChild>
        <w:div w:id="1713266455">
          <w:marLeft w:val="0"/>
          <w:marRight w:val="0"/>
          <w:marTop w:val="0"/>
          <w:marBottom w:val="0"/>
          <w:divBdr>
            <w:top w:val="none" w:sz="0" w:space="0" w:color="auto"/>
            <w:left w:val="none" w:sz="0" w:space="0" w:color="auto"/>
            <w:bottom w:val="none" w:sz="0" w:space="0" w:color="auto"/>
            <w:right w:val="none" w:sz="0" w:space="0" w:color="auto"/>
          </w:divBdr>
        </w:div>
      </w:divsChild>
    </w:div>
    <w:div w:id="476457510">
      <w:bodyDiv w:val="1"/>
      <w:marLeft w:val="0"/>
      <w:marRight w:val="0"/>
      <w:marTop w:val="0"/>
      <w:marBottom w:val="0"/>
      <w:divBdr>
        <w:top w:val="none" w:sz="0" w:space="0" w:color="auto"/>
        <w:left w:val="none" w:sz="0" w:space="0" w:color="auto"/>
        <w:bottom w:val="none" w:sz="0" w:space="0" w:color="auto"/>
        <w:right w:val="none" w:sz="0" w:space="0" w:color="auto"/>
      </w:divBdr>
      <w:divsChild>
        <w:div w:id="1727994495">
          <w:marLeft w:val="0"/>
          <w:marRight w:val="0"/>
          <w:marTop w:val="0"/>
          <w:marBottom w:val="0"/>
          <w:divBdr>
            <w:top w:val="none" w:sz="0" w:space="0" w:color="auto"/>
            <w:left w:val="none" w:sz="0" w:space="0" w:color="auto"/>
            <w:bottom w:val="none" w:sz="0" w:space="0" w:color="auto"/>
            <w:right w:val="none" w:sz="0" w:space="0" w:color="auto"/>
          </w:divBdr>
        </w:div>
      </w:divsChild>
    </w:div>
    <w:div w:id="498623049">
      <w:bodyDiv w:val="1"/>
      <w:marLeft w:val="0"/>
      <w:marRight w:val="0"/>
      <w:marTop w:val="0"/>
      <w:marBottom w:val="0"/>
      <w:divBdr>
        <w:top w:val="none" w:sz="0" w:space="0" w:color="auto"/>
        <w:left w:val="none" w:sz="0" w:space="0" w:color="auto"/>
        <w:bottom w:val="none" w:sz="0" w:space="0" w:color="auto"/>
        <w:right w:val="none" w:sz="0" w:space="0" w:color="auto"/>
      </w:divBdr>
      <w:divsChild>
        <w:div w:id="1713772213">
          <w:marLeft w:val="0"/>
          <w:marRight w:val="0"/>
          <w:marTop w:val="0"/>
          <w:marBottom w:val="0"/>
          <w:divBdr>
            <w:top w:val="none" w:sz="0" w:space="0" w:color="auto"/>
            <w:left w:val="none" w:sz="0" w:space="0" w:color="auto"/>
            <w:bottom w:val="none" w:sz="0" w:space="0" w:color="auto"/>
            <w:right w:val="none" w:sz="0" w:space="0" w:color="auto"/>
          </w:divBdr>
          <w:divsChild>
            <w:div w:id="142048874">
              <w:marLeft w:val="0"/>
              <w:marRight w:val="0"/>
              <w:marTop w:val="0"/>
              <w:marBottom w:val="0"/>
              <w:divBdr>
                <w:top w:val="none" w:sz="0" w:space="0" w:color="auto"/>
                <w:left w:val="none" w:sz="0" w:space="0" w:color="auto"/>
                <w:bottom w:val="none" w:sz="0" w:space="0" w:color="auto"/>
                <w:right w:val="none" w:sz="0" w:space="0" w:color="auto"/>
              </w:divBdr>
              <w:divsChild>
                <w:div w:id="964428116">
                  <w:marLeft w:val="0"/>
                  <w:marRight w:val="0"/>
                  <w:marTop w:val="0"/>
                  <w:marBottom w:val="0"/>
                  <w:divBdr>
                    <w:top w:val="none" w:sz="0" w:space="0" w:color="auto"/>
                    <w:left w:val="none" w:sz="0" w:space="0" w:color="auto"/>
                    <w:bottom w:val="none" w:sz="0" w:space="0" w:color="auto"/>
                    <w:right w:val="none" w:sz="0" w:space="0" w:color="auto"/>
                  </w:divBdr>
                  <w:divsChild>
                    <w:div w:id="7631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7388">
      <w:bodyDiv w:val="1"/>
      <w:marLeft w:val="0"/>
      <w:marRight w:val="0"/>
      <w:marTop w:val="0"/>
      <w:marBottom w:val="0"/>
      <w:divBdr>
        <w:top w:val="none" w:sz="0" w:space="0" w:color="auto"/>
        <w:left w:val="none" w:sz="0" w:space="0" w:color="auto"/>
        <w:bottom w:val="none" w:sz="0" w:space="0" w:color="auto"/>
        <w:right w:val="none" w:sz="0" w:space="0" w:color="auto"/>
      </w:divBdr>
    </w:div>
    <w:div w:id="530142507">
      <w:bodyDiv w:val="1"/>
      <w:marLeft w:val="0"/>
      <w:marRight w:val="0"/>
      <w:marTop w:val="0"/>
      <w:marBottom w:val="0"/>
      <w:divBdr>
        <w:top w:val="none" w:sz="0" w:space="0" w:color="auto"/>
        <w:left w:val="none" w:sz="0" w:space="0" w:color="auto"/>
        <w:bottom w:val="none" w:sz="0" w:space="0" w:color="auto"/>
        <w:right w:val="none" w:sz="0" w:space="0" w:color="auto"/>
      </w:divBdr>
      <w:divsChild>
        <w:div w:id="1452549223">
          <w:marLeft w:val="0"/>
          <w:marRight w:val="0"/>
          <w:marTop w:val="0"/>
          <w:marBottom w:val="0"/>
          <w:divBdr>
            <w:top w:val="none" w:sz="0" w:space="0" w:color="auto"/>
            <w:left w:val="none" w:sz="0" w:space="0" w:color="auto"/>
            <w:bottom w:val="none" w:sz="0" w:space="0" w:color="auto"/>
            <w:right w:val="none" w:sz="0" w:space="0" w:color="auto"/>
          </w:divBdr>
          <w:divsChild>
            <w:div w:id="1790126805">
              <w:marLeft w:val="0"/>
              <w:marRight w:val="0"/>
              <w:marTop w:val="0"/>
              <w:marBottom w:val="0"/>
              <w:divBdr>
                <w:top w:val="none" w:sz="0" w:space="0" w:color="auto"/>
                <w:left w:val="none" w:sz="0" w:space="0" w:color="auto"/>
                <w:bottom w:val="none" w:sz="0" w:space="0" w:color="auto"/>
                <w:right w:val="none" w:sz="0" w:space="0" w:color="auto"/>
              </w:divBdr>
              <w:divsChild>
                <w:div w:id="2086411345">
                  <w:marLeft w:val="0"/>
                  <w:marRight w:val="0"/>
                  <w:marTop w:val="0"/>
                  <w:marBottom w:val="0"/>
                  <w:divBdr>
                    <w:top w:val="none" w:sz="0" w:space="0" w:color="auto"/>
                    <w:left w:val="none" w:sz="0" w:space="0" w:color="auto"/>
                    <w:bottom w:val="none" w:sz="0" w:space="0" w:color="auto"/>
                    <w:right w:val="none" w:sz="0" w:space="0" w:color="auto"/>
                  </w:divBdr>
                </w:div>
              </w:divsChild>
            </w:div>
            <w:div w:id="2067755559">
              <w:marLeft w:val="0"/>
              <w:marRight w:val="0"/>
              <w:marTop w:val="0"/>
              <w:marBottom w:val="0"/>
              <w:divBdr>
                <w:top w:val="none" w:sz="0" w:space="0" w:color="auto"/>
                <w:left w:val="none" w:sz="0" w:space="0" w:color="auto"/>
                <w:bottom w:val="none" w:sz="0" w:space="0" w:color="auto"/>
                <w:right w:val="none" w:sz="0" w:space="0" w:color="auto"/>
              </w:divBdr>
              <w:divsChild>
                <w:div w:id="12360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7078">
      <w:bodyDiv w:val="1"/>
      <w:marLeft w:val="0"/>
      <w:marRight w:val="0"/>
      <w:marTop w:val="0"/>
      <w:marBottom w:val="0"/>
      <w:divBdr>
        <w:top w:val="none" w:sz="0" w:space="0" w:color="auto"/>
        <w:left w:val="none" w:sz="0" w:space="0" w:color="auto"/>
        <w:bottom w:val="none" w:sz="0" w:space="0" w:color="auto"/>
        <w:right w:val="none" w:sz="0" w:space="0" w:color="auto"/>
      </w:divBdr>
      <w:divsChild>
        <w:div w:id="1150368800">
          <w:marLeft w:val="0"/>
          <w:marRight w:val="0"/>
          <w:marTop w:val="0"/>
          <w:marBottom w:val="0"/>
          <w:divBdr>
            <w:top w:val="none" w:sz="0" w:space="0" w:color="auto"/>
            <w:left w:val="none" w:sz="0" w:space="0" w:color="auto"/>
            <w:bottom w:val="none" w:sz="0" w:space="0" w:color="auto"/>
            <w:right w:val="none" w:sz="0" w:space="0" w:color="auto"/>
          </w:divBdr>
          <w:divsChild>
            <w:div w:id="593173231">
              <w:marLeft w:val="0"/>
              <w:marRight w:val="0"/>
              <w:marTop w:val="0"/>
              <w:marBottom w:val="0"/>
              <w:divBdr>
                <w:top w:val="none" w:sz="0" w:space="0" w:color="auto"/>
                <w:left w:val="none" w:sz="0" w:space="0" w:color="auto"/>
                <w:bottom w:val="none" w:sz="0" w:space="0" w:color="auto"/>
                <w:right w:val="none" w:sz="0" w:space="0" w:color="auto"/>
              </w:divBdr>
              <w:divsChild>
                <w:div w:id="844439875">
                  <w:marLeft w:val="0"/>
                  <w:marRight w:val="0"/>
                  <w:marTop w:val="0"/>
                  <w:marBottom w:val="0"/>
                  <w:divBdr>
                    <w:top w:val="none" w:sz="0" w:space="0" w:color="auto"/>
                    <w:left w:val="none" w:sz="0" w:space="0" w:color="auto"/>
                    <w:bottom w:val="none" w:sz="0" w:space="0" w:color="auto"/>
                    <w:right w:val="none" w:sz="0" w:space="0" w:color="auto"/>
                  </w:divBdr>
                  <w:divsChild>
                    <w:div w:id="14692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7717">
      <w:bodyDiv w:val="1"/>
      <w:marLeft w:val="0"/>
      <w:marRight w:val="0"/>
      <w:marTop w:val="0"/>
      <w:marBottom w:val="0"/>
      <w:divBdr>
        <w:top w:val="none" w:sz="0" w:space="0" w:color="auto"/>
        <w:left w:val="none" w:sz="0" w:space="0" w:color="auto"/>
        <w:bottom w:val="none" w:sz="0" w:space="0" w:color="auto"/>
        <w:right w:val="none" w:sz="0" w:space="0" w:color="auto"/>
      </w:divBdr>
      <w:divsChild>
        <w:div w:id="406153468">
          <w:marLeft w:val="0"/>
          <w:marRight w:val="0"/>
          <w:marTop w:val="0"/>
          <w:marBottom w:val="0"/>
          <w:divBdr>
            <w:top w:val="none" w:sz="0" w:space="0" w:color="auto"/>
            <w:left w:val="none" w:sz="0" w:space="0" w:color="auto"/>
            <w:bottom w:val="none" w:sz="0" w:space="0" w:color="auto"/>
            <w:right w:val="none" w:sz="0" w:space="0" w:color="auto"/>
          </w:divBdr>
        </w:div>
      </w:divsChild>
    </w:div>
    <w:div w:id="715544406">
      <w:bodyDiv w:val="1"/>
      <w:marLeft w:val="0"/>
      <w:marRight w:val="0"/>
      <w:marTop w:val="0"/>
      <w:marBottom w:val="0"/>
      <w:divBdr>
        <w:top w:val="none" w:sz="0" w:space="0" w:color="auto"/>
        <w:left w:val="none" w:sz="0" w:space="0" w:color="auto"/>
        <w:bottom w:val="none" w:sz="0" w:space="0" w:color="auto"/>
        <w:right w:val="none" w:sz="0" w:space="0" w:color="auto"/>
      </w:divBdr>
      <w:divsChild>
        <w:div w:id="235942970">
          <w:marLeft w:val="0"/>
          <w:marRight w:val="0"/>
          <w:marTop w:val="0"/>
          <w:marBottom w:val="0"/>
          <w:divBdr>
            <w:top w:val="none" w:sz="0" w:space="0" w:color="auto"/>
            <w:left w:val="none" w:sz="0" w:space="0" w:color="auto"/>
            <w:bottom w:val="none" w:sz="0" w:space="0" w:color="auto"/>
            <w:right w:val="none" w:sz="0" w:space="0" w:color="auto"/>
          </w:divBdr>
        </w:div>
      </w:divsChild>
    </w:div>
    <w:div w:id="805901796">
      <w:bodyDiv w:val="1"/>
      <w:marLeft w:val="0"/>
      <w:marRight w:val="0"/>
      <w:marTop w:val="0"/>
      <w:marBottom w:val="0"/>
      <w:divBdr>
        <w:top w:val="none" w:sz="0" w:space="0" w:color="auto"/>
        <w:left w:val="none" w:sz="0" w:space="0" w:color="auto"/>
        <w:bottom w:val="none" w:sz="0" w:space="0" w:color="auto"/>
        <w:right w:val="none" w:sz="0" w:space="0" w:color="auto"/>
      </w:divBdr>
      <w:divsChild>
        <w:div w:id="450705466">
          <w:marLeft w:val="0"/>
          <w:marRight w:val="0"/>
          <w:marTop w:val="0"/>
          <w:marBottom w:val="0"/>
          <w:divBdr>
            <w:top w:val="none" w:sz="0" w:space="0" w:color="auto"/>
            <w:left w:val="none" w:sz="0" w:space="0" w:color="auto"/>
            <w:bottom w:val="none" w:sz="0" w:space="0" w:color="auto"/>
            <w:right w:val="none" w:sz="0" w:space="0" w:color="auto"/>
          </w:divBdr>
          <w:divsChild>
            <w:div w:id="500243238">
              <w:marLeft w:val="0"/>
              <w:marRight w:val="0"/>
              <w:marTop w:val="0"/>
              <w:marBottom w:val="0"/>
              <w:divBdr>
                <w:top w:val="none" w:sz="0" w:space="0" w:color="auto"/>
                <w:left w:val="none" w:sz="0" w:space="0" w:color="auto"/>
                <w:bottom w:val="none" w:sz="0" w:space="0" w:color="auto"/>
                <w:right w:val="none" w:sz="0" w:space="0" w:color="auto"/>
              </w:divBdr>
              <w:divsChild>
                <w:div w:id="1132988824">
                  <w:marLeft w:val="0"/>
                  <w:marRight w:val="0"/>
                  <w:marTop w:val="0"/>
                  <w:marBottom w:val="0"/>
                  <w:divBdr>
                    <w:top w:val="none" w:sz="0" w:space="0" w:color="auto"/>
                    <w:left w:val="none" w:sz="0" w:space="0" w:color="auto"/>
                    <w:bottom w:val="none" w:sz="0" w:space="0" w:color="auto"/>
                    <w:right w:val="none" w:sz="0" w:space="0" w:color="auto"/>
                  </w:divBdr>
                  <w:divsChild>
                    <w:div w:id="15116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18582">
      <w:bodyDiv w:val="1"/>
      <w:marLeft w:val="0"/>
      <w:marRight w:val="0"/>
      <w:marTop w:val="0"/>
      <w:marBottom w:val="0"/>
      <w:divBdr>
        <w:top w:val="none" w:sz="0" w:space="0" w:color="auto"/>
        <w:left w:val="none" w:sz="0" w:space="0" w:color="auto"/>
        <w:bottom w:val="none" w:sz="0" w:space="0" w:color="auto"/>
        <w:right w:val="none" w:sz="0" w:space="0" w:color="auto"/>
      </w:divBdr>
      <w:divsChild>
        <w:div w:id="146409831">
          <w:marLeft w:val="0"/>
          <w:marRight w:val="0"/>
          <w:marTop w:val="0"/>
          <w:marBottom w:val="0"/>
          <w:divBdr>
            <w:top w:val="none" w:sz="0" w:space="0" w:color="auto"/>
            <w:left w:val="none" w:sz="0" w:space="0" w:color="auto"/>
            <w:bottom w:val="none" w:sz="0" w:space="0" w:color="auto"/>
            <w:right w:val="none" w:sz="0" w:space="0" w:color="auto"/>
          </w:divBdr>
          <w:divsChild>
            <w:div w:id="2028674547">
              <w:marLeft w:val="0"/>
              <w:marRight w:val="0"/>
              <w:marTop w:val="0"/>
              <w:marBottom w:val="0"/>
              <w:divBdr>
                <w:top w:val="none" w:sz="0" w:space="0" w:color="auto"/>
                <w:left w:val="none" w:sz="0" w:space="0" w:color="auto"/>
                <w:bottom w:val="none" w:sz="0" w:space="0" w:color="auto"/>
                <w:right w:val="none" w:sz="0" w:space="0" w:color="auto"/>
              </w:divBdr>
              <w:divsChild>
                <w:div w:id="82724725">
                  <w:marLeft w:val="0"/>
                  <w:marRight w:val="0"/>
                  <w:marTop w:val="0"/>
                  <w:marBottom w:val="0"/>
                  <w:divBdr>
                    <w:top w:val="none" w:sz="0" w:space="0" w:color="auto"/>
                    <w:left w:val="none" w:sz="0" w:space="0" w:color="auto"/>
                    <w:bottom w:val="none" w:sz="0" w:space="0" w:color="auto"/>
                    <w:right w:val="none" w:sz="0" w:space="0" w:color="auto"/>
                  </w:divBdr>
                  <w:divsChild>
                    <w:div w:id="52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10959">
      <w:bodyDiv w:val="1"/>
      <w:marLeft w:val="0"/>
      <w:marRight w:val="0"/>
      <w:marTop w:val="0"/>
      <w:marBottom w:val="0"/>
      <w:divBdr>
        <w:top w:val="none" w:sz="0" w:space="0" w:color="auto"/>
        <w:left w:val="none" w:sz="0" w:space="0" w:color="auto"/>
        <w:bottom w:val="none" w:sz="0" w:space="0" w:color="auto"/>
        <w:right w:val="none" w:sz="0" w:space="0" w:color="auto"/>
      </w:divBdr>
      <w:divsChild>
        <w:div w:id="436869894">
          <w:marLeft w:val="0"/>
          <w:marRight w:val="0"/>
          <w:marTop w:val="0"/>
          <w:marBottom w:val="0"/>
          <w:divBdr>
            <w:top w:val="none" w:sz="0" w:space="0" w:color="auto"/>
            <w:left w:val="none" w:sz="0" w:space="0" w:color="auto"/>
            <w:bottom w:val="none" w:sz="0" w:space="0" w:color="auto"/>
            <w:right w:val="none" w:sz="0" w:space="0" w:color="auto"/>
          </w:divBdr>
          <w:divsChild>
            <w:div w:id="115025509">
              <w:marLeft w:val="0"/>
              <w:marRight w:val="0"/>
              <w:marTop w:val="0"/>
              <w:marBottom w:val="0"/>
              <w:divBdr>
                <w:top w:val="none" w:sz="0" w:space="0" w:color="auto"/>
                <w:left w:val="none" w:sz="0" w:space="0" w:color="auto"/>
                <w:bottom w:val="none" w:sz="0" w:space="0" w:color="auto"/>
                <w:right w:val="none" w:sz="0" w:space="0" w:color="auto"/>
              </w:divBdr>
              <w:divsChild>
                <w:div w:id="618536445">
                  <w:marLeft w:val="0"/>
                  <w:marRight w:val="0"/>
                  <w:marTop w:val="0"/>
                  <w:marBottom w:val="0"/>
                  <w:divBdr>
                    <w:top w:val="none" w:sz="0" w:space="0" w:color="auto"/>
                    <w:left w:val="none" w:sz="0" w:space="0" w:color="auto"/>
                    <w:bottom w:val="none" w:sz="0" w:space="0" w:color="auto"/>
                    <w:right w:val="none" w:sz="0" w:space="0" w:color="auto"/>
                  </w:divBdr>
                </w:div>
              </w:divsChild>
            </w:div>
            <w:div w:id="898632523">
              <w:marLeft w:val="0"/>
              <w:marRight w:val="0"/>
              <w:marTop w:val="0"/>
              <w:marBottom w:val="0"/>
              <w:divBdr>
                <w:top w:val="none" w:sz="0" w:space="0" w:color="auto"/>
                <w:left w:val="none" w:sz="0" w:space="0" w:color="auto"/>
                <w:bottom w:val="none" w:sz="0" w:space="0" w:color="auto"/>
                <w:right w:val="none" w:sz="0" w:space="0" w:color="auto"/>
              </w:divBdr>
              <w:divsChild>
                <w:div w:id="3856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1472">
      <w:bodyDiv w:val="1"/>
      <w:marLeft w:val="0"/>
      <w:marRight w:val="0"/>
      <w:marTop w:val="0"/>
      <w:marBottom w:val="0"/>
      <w:divBdr>
        <w:top w:val="none" w:sz="0" w:space="0" w:color="auto"/>
        <w:left w:val="none" w:sz="0" w:space="0" w:color="auto"/>
        <w:bottom w:val="none" w:sz="0" w:space="0" w:color="auto"/>
        <w:right w:val="none" w:sz="0" w:space="0" w:color="auto"/>
      </w:divBdr>
      <w:divsChild>
        <w:div w:id="831605570">
          <w:marLeft w:val="0"/>
          <w:marRight w:val="0"/>
          <w:marTop w:val="0"/>
          <w:marBottom w:val="0"/>
          <w:divBdr>
            <w:top w:val="none" w:sz="0" w:space="0" w:color="auto"/>
            <w:left w:val="none" w:sz="0" w:space="0" w:color="auto"/>
            <w:bottom w:val="none" w:sz="0" w:space="0" w:color="auto"/>
            <w:right w:val="none" w:sz="0" w:space="0" w:color="auto"/>
          </w:divBdr>
        </w:div>
      </w:divsChild>
    </w:div>
    <w:div w:id="1017924281">
      <w:bodyDiv w:val="1"/>
      <w:marLeft w:val="0"/>
      <w:marRight w:val="0"/>
      <w:marTop w:val="0"/>
      <w:marBottom w:val="0"/>
      <w:divBdr>
        <w:top w:val="none" w:sz="0" w:space="0" w:color="auto"/>
        <w:left w:val="none" w:sz="0" w:space="0" w:color="auto"/>
        <w:bottom w:val="none" w:sz="0" w:space="0" w:color="auto"/>
        <w:right w:val="none" w:sz="0" w:space="0" w:color="auto"/>
      </w:divBdr>
      <w:divsChild>
        <w:div w:id="1836144140">
          <w:marLeft w:val="0"/>
          <w:marRight w:val="0"/>
          <w:marTop w:val="0"/>
          <w:marBottom w:val="0"/>
          <w:divBdr>
            <w:top w:val="none" w:sz="0" w:space="0" w:color="auto"/>
            <w:left w:val="none" w:sz="0" w:space="0" w:color="auto"/>
            <w:bottom w:val="none" w:sz="0" w:space="0" w:color="auto"/>
            <w:right w:val="none" w:sz="0" w:space="0" w:color="auto"/>
          </w:divBdr>
        </w:div>
      </w:divsChild>
    </w:div>
    <w:div w:id="1023751149">
      <w:bodyDiv w:val="1"/>
      <w:marLeft w:val="0"/>
      <w:marRight w:val="0"/>
      <w:marTop w:val="0"/>
      <w:marBottom w:val="0"/>
      <w:divBdr>
        <w:top w:val="none" w:sz="0" w:space="0" w:color="auto"/>
        <w:left w:val="none" w:sz="0" w:space="0" w:color="auto"/>
        <w:bottom w:val="none" w:sz="0" w:space="0" w:color="auto"/>
        <w:right w:val="none" w:sz="0" w:space="0" w:color="auto"/>
      </w:divBdr>
    </w:div>
    <w:div w:id="1158494826">
      <w:bodyDiv w:val="1"/>
      <w:marLeft w:val="0"/>
      <w:marRight w:val="0"/>
      <w:marTop w:val="0"/>
      <w:marBottom w:val="0"/>
      <w:divBdr>
        <w:top w:val="none" w:sz="0" w:space="0" w:color="auto"/>
        <w:left w:val="none" w:sz="0" w:space="0" w:color="auto"/>
        <w:bottom w:val="none" w:sz="0" w:space="0" w:color="auto"/>
        <w:right w:val="none" w:sz="0" w:space="0" w:color="auto"/>
      </w:divBdr>
      <w:divsChild>
        <w:div w:id="627511209">
          <w:marLeft w:val="0"/>
          <w:marRight w:val="0"/>
          <w:marTop w:val="0"/>
          <w:marBottom w:val="0"/>
          <w:divBdr>
            <w:top w:val="none" w:sz="0" w:space="0" w:color="auto"/>
            <w:left w:val="none" w:sz="0" w:space="0" w:color="auto"/>
            <w:bottom w:val="none" w:sz="0" w:space="0" w:color="auto"/>
            <w:right w:val="none" w:sz="0" w:space="0" w:color="auto"/>
          </w:divBdr>
          <w:divsChild>
            <w:div w:id="1440948427">
              <w:marLeft w:val="0"/>
              <w:marRight w:val="0"/>
              <w:marTop w:val="0"/>
              <w:marBottom w:val="0"/>
              <w:divBdr>
                <w:top w:val="none" w:sz="0" w:space="0" w:color="auto"/>
                <w:left w:val="none" w:sz="0" w:space="0" w:color="auto"/>
                <w:bottom w:val="none" w:sz="0" w:space="0" w:color="auto"/>
                <w:right w:val="none" w:sz="0" w:space="0" w:color="auto"/>
              </w:divBdr>
              <w:divsChild>
                <w:div w:id="509680524">
                  <w:marLeft w:val="0"/>
                  <w:marRight w:val="0"/>
                  <w:marTop w:val="0"/>
                  <w:marBottom w:val="0"/>
                  <w:divBdr>
                    <w:top w:val="none" w:sz="0" w:space="0" w:color="auto"/>
                    <w:left w:val="none" w:sz="0" w:space="0" w:color="auto"/>
                    <w:bottom w:val="none" w:sz="0" w:space="0" w:color="auto"/>
                    <w:right w:val="none" w:sz="0" w:space="0" w:color="auto"/>
                  </w:divBdr>
                  <w:divsChild>
                    <w:div w:id="10033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2497">
      <w:bodyDiv w:val="1"/>
      <w:marLeft w:val="0"/>
      <w:marRight w:val="0"/>
      <w:marTop w:val="0"/>
      <w:marBottom w:val="0"/>
      <w:divBdr>
        <w:top w:val="none" w:sz="0" w:space="0" w:color="auto"/>
        <w:left w:val="none" w:sz="0" w:space="0" w:color="auto"/>
        <w:bottom w:val="none" w:sz="0" w:space="0" w:color="auto"/>
        <w:right w:val="none" w:sz="0" w:space="0" w:color="auto"/>
      </w:divBdr>
      <w:divsChild>
        <w:div w:id="1126391710">
          <w:marLeft w:val="0"/>
          <w:marRight w:val="0"/>
          <w:marTop w:val="0"/>
          <w:marBottom w:val="0"/>
          <w:divBdr>
            <w:top w:val="none" w:sz="0" w:space="0" w:color="auto"/>
            <w:left w:val="none" w:sz="0" w:space="0" w:color="auto"/>
            <w:bottom w:val="none" w:sz="0" w:space="0" w:color="auto"/>
            <w:right w:val="none" w:sz="0" w:space="0" w:color="auto"/>
          </w:divBdr>
          <w:divsChild>
            <w:div w:id="1654602397">
              <w:marLeft w:val="0"/>
              <w:marRight w:val="0"/>
              <w:marTop w:val="0"/>
              <w:marBottom w:val="0"/>
              <w:divBdr>
                <w:top w:val="none" w:sz="0" w:space="0" w:color="auto"/>
                <w:left w:val="none" w:sz="0" w:space="0" w:color="auto"/>
                <w:bottom w:val="none" w:sz="0" w:space="0" w:color="auto"/>
                <w:right w:val="none" w:sz="0" w:space="0" w:color="auto"/>
              </w:divBdr>
              <w:divsChild>
                <w:div w:id="1277981269">
                  <w:marLeft w:val="0"/>
                  <w:marRight w:val="0"/>
                  <w:marTop w:val="0"/>
                  <w:marBottom w:val="0"/>
                  <w:divBdr>
                    <w:top w:val="none" w:sz="0" w:space="0" w:color="auto"/>
                    <w:left w:val="none" w:sz="0" w:space="0" w:color="auto"/>
                    <w:bottom w:val="none" w:sz="0" w:space="0" w:color="auto"/>
                    <w:right w:val="none" w:sz="0" w:space="0" w:color="auto"/>
                  </w:divBdr>
                  <w:divsChild>
                    <w:div w:id="7528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09665">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1294170669">
          <w:marLeft w:val="0"/>
          <w:marRight w:val="0"/>
          <w:marTop w:val="0"/>
          <w:marBottom w:val="0"/>
          <w:divBdr>
            <w:top w:val="none" w:sz="0" w:space="0" w:color="auto"/>
            <w:left w:val="none" w:sz="0" w:space="0" w:color="auto"/>
            <w:bottom w:val="none" w:sz="0" w:space="0" w:color="auto"/>
            <w:right w:val="none" w:sz="0" w:space="0" w:color="auto"/>
          </w:divBdr>
        </w:div>
      </w:divsChild>
    </w:div>
    <w:div w:id="1362976280">
      <w:bodyDiv w:val="1"/>
      <w:marLeft w:val="0"/>
      <w:marRight w:val="0"/>
      <w:marTop w:val="0"/>
      <w:marBottom w:val="0"/>
      <w:divBdr>
        <w:top w:val="none" w:sz="0" w:space="0" w:color="auto"/>
        <w:left w:val="none" w:sz="0" w:space="0" w:color="auto"/>
        <w:bottom w:val="none" w:sz="0" w:space="0" w:color="auto"/>
        <w:right w:val="none" w:sz="0" w:space="0" w:color="auto"/>
      </w:divBdr>
      <w:divsChild>
        <w:div w:id="693264760">
          <w:marLeft w:val="0"/>
          <w:marRight w:val="0"/>
          <w:marTop w:val="0"/>
          <w:marBottom w:val="0"/>
          <w:divBdr>
            <w:top w:val="none" w:sz="0" w:space="0" w:color="auto"/>
            <w:left w:val="none" w:sz="0" w:space="0" w:color="auto"/>
            <w:bottom w:val="none" w:sz="0" w:space="0" w:color="auto"/>
            <w:right w:val="none" w:sz="0" w:space="0" w:color="auto"/>
          </w:divBdr>
          <w:divsChild>
            <w:div w:id="1855656035">
              <w:marLeft w:val="0"/>
              <w:marRight w:val="0"/>
              <w:marTop w:val="0"/>
              <w:marBottom w:val="0"/>
              <w:divBdr>
                <w:top w:val="none" w:sz="0" w:space="0" w:color="auto"/>
                <w:left w:val="none" w:sz="0" w:space="0" w:color="auto"/>
                <w:bottom w:val="none" w:sz="0" w:space="0" w:color="auto"/>
                <w:right w:val="none" w:sz="0" w:space="0" w:color="auto"/>
              </w:divBdr>
              <w:divsChild>
                <w:div w:id="769742143">
                  <w:marLeft w:val="0"/>
                  <w:marRight w:val="0"/>
                  <w:marTop w:val="0"/>
                  <w:marBottom w:val="0"/>
                  <w:divBdr>
                    <w:top w:val="none" w:sz="0" w:space="0" w:color="auto"/>
                    <w:left w:val="none" w:sz="0" w:space="0" w:color="auto"/>
                    <w:bottom w:val="none" w:sz="0" w:space="0" w:color="auto"/>
                    <w:right w:val="none" w:sz="0" w:space="0" w:color="auto"/>
                  </w:divBdr>
                  <w:divsChild>
                    <w:div w:id="5974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8357">
      <w:bodyDiv w:val="1"/>
      <w:marLeft w:val="0"/>
      <w:marRight w:val="0"/>
      <w:marTop w:val="0"/>
      <w:marBottom w:val="0"/>
      <w:divBdr>
        <w:top w:val="none" w:sz="0" w:space="0" w:color="auto"/>
        <w:left w:val="none" w:sz="0" w:space="0" w:color="auto"/>
        <w:bottom w:val="none" w:sz="0" w:space="0" w:color="auto"/>
        <w:right w:val="none" w:sz="0" w:space="0" w:color="auto"/>
      </w:divBdr>
      <w:divsChild>
        <w:div w:id="890535793">
          <w:marLeft w:val="0"/>
          <w:marRight w:val="0"/>
          <w:marTop w:val="0"/>
          <w:marBottom w:val="0"/>
          <w:divBdr>
            <w:top w:val="none" w:sz="0" w:space="0" w:color="auto"/>
            <w:left w:val="none" w:sz="0" w:space="0" w:color="auto"/>
            <w:bottom w:val="none" w:sz="0" w:space="0" w:color="auto"/>
            <w:right w:val="none" w:sz="0" w:space="0" w:color="auto"/>
          </w:divBdr>
        </w:div>
      </w:divsChild>
    </w:div>
    <w:div w:id="1453130293">
      <w:bodyDiv w:val="1"/>
      <w:marLeft w:val="0"/>
      <w:marRight w:val="0"/>
      <w:marTop w:val="0"/>
      <w:marBottom w:val="0"/>
      <w:divBdr>
        <w:top w:val="none" w:sz="0" w:space="0" w:color="auto"/>
        <w:left w:val="none" w:sz="0" w:space="0" w:color="auto"/>
        <w:bottom w:val="none" w:sz="0" w:space="0" w:color="auto"/>
        <w:right w:val="none" w:sz="0" w:space="0" w:color="auto"/>
      </w:divBdr>
    </w:div>
    <w:div w:id="1455370788">
      <w:bodyDiv w:val="1"/>
      <w:marLeft w:val="0"/>
      <w:marRight w:val="0"/>
      <w:marTop w:val="0"/>
      <w:marBottom w:val="0"/>
      <w:divBdr>
        <w:top w:val="none" w:sz="0" w:space="0" w:color="auto"/>
        <w:left w:val="none" w:sz="0" w:space="0" w:color="auto"/>
        <w:bottom w:val="none" w:sz="0" w:space="0" w:color="auto"/>
        <w:right w:val="none" w:sz="0" w:space="0" w:color="auto"/>
      </w:divBdr>
      <w:divsChild>
        <w:div w:id="408692594">
          <w:marLeft w:val="0"/>
          <w:marRight w:val="0"/>
          <w:marTop w:val="0"/>
          <w:marBottom w:val="0"/>
          <w:divBdr>
            <w:top w:val="none" w:sz="0" w:space="0" w:color="auto"/>
            <w:left w:val="none" w:sz="0" w:space="0" w:color="auto"/>
            <w:bottom w:val="none" w:sz="0" w:space="0" w:color="auto"/>
            <w:right w:val="none" w:sz="0" w:space="0" w:color="auto"/>
          </w:divBdr>
        </w:div>
      </w:divsChild>
    </w:div>
    <w:div w:id="1473936680">
      <w:bodyDiv w:val="1"/>
      <w:marLeft w:val="0"/>
      <w:marRight w:val="0"/>
      <w:marTop w:val="0"/>
      <w:marBottom w:val="0"/>
      <w:divBdr>
        <w:top w:val="none" w:sz="0" w:space="0" w:color="auto"/>
        <w:left w:val="none" w:sz="0" w:space="0" w:color="auto"/>
        <w:bottom w:val="none" w:sz="0" w:space="0" w:color="auto"/>
        <w:right w:val="none" w:sz="0" w:space="0" w:color="auto"/>
      </w:divBdr>
      <w:divsChild>
        <w:div w:id="1892643683">
          <w:marLeft w:val="0"/>
          <w:marRight w:val="0"/>
          <w:marTop w:val="0"/>
          <w:marBottom w:val="0"/>
          <w:divBdr>
            <w:top w:val="none" w:sz="0" w:space="0" w:color="auto"/>
            <w:left w:val="none" w:sz="0" w:space="0" w:color="auto"/>
            <w:bottom w:val="none" w:sz="0" w:space="0" w:color="auto"/>
            <w:right w:val="none" w:sz="0" w:space="0" w:color="auto"/>
          </w:divBdr>
          <w:divsChild>
            <w:div w:id="2128617130">
              <w:marLeft w:val="0"/>
              <w:marRight w:val="0"/>
              <w:marTop w:val="0"/>
              <w:marBottom w:val="0"/>
              <w:divBdr>
                <w:top w:val="none" w:sz="0" w:space="0" w:color="auto"/>
                <w:left w:val="none" w:sz="0" w:space="0" w:color="auto"/>
                <w:bottom w:val="none" w:sz="0" w:space="0" w:color="auto"/>
                <w:right w:val="none" w:sz="0" w:space="0" w:color="auto"/>
              </w:divBdr>
              <w:divsChild>
                <w:div w:id="1381901635">
                  <w:marLeft w:val="0"/>
                  <w:marRight w:val="0"/>
                  <w:marTop w:val="0"/>
                  <w:marBottom w:val="0"/>
                  <w:divBdr>
                    <w:top w:val="none" w:sz="0" w:space="0" w:color="auto"/>
                    <w:left w:val="none" w:sz="0" w:space="0" w:color="auto"/>
                    <w:bottom w:val="none" w:sz="0" w:space="0" w:color="auto"/>
                    <w:right w:val="none" w:sz="0" w:space="0" w:color="auto"/>
                  </w:divBdr>
                  <w:divsChild>
                    <w:div w:id="14990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327">
      <w:bodyDiv w:val="1"/>
      <w:marLeft w:val="0"/>
      <w:marRight w:val="0"/>
      <w:marTop w:val="0"/>
      <w:marBottom w:val="0"/>
      <w:divBdr>
        <w:top w:val="none" w:sz="0" w:space="0" w:color="auto"/>
        <w:left w:val="none" w:sz="0" w:space="0" w:color="auto"/>
        <w:bottom w:val="none" w:sz="0" w:space="0" w:color="auto"/>
        <w:right w:val="none" w:sz="0" w:space="0" w:color="auto"/>
      </w:divBdr>
      <w:divsChild>
        <w:div w:id="1607469069">
          <w:marLeft w:val="0"/>
          <w:marRight w:val="0"/>
          <w:marTop w:val="0"/>
          <w:marBottom w:val="0"/>
          <w:divBdr>
            <w:top w:val="none" w:sz="0" w:space="0" w:color="auto"/>
            <w:left w:val="none" w:sz="0" w:space="0" w:color="auto"/>
            <w:bottom w:val="none" w:sz="0" w:space="0" w:color="auto"/>
            <w:right w:val="none" w:sz="0" w:space="0" w:color="auto"/>
          </w:divBdr>
          <w:divsChild>
            <w:div w:id="1870725686">
              <w:marLeft w:val="0"/>
              <w:marRight w:val="0"/>
              <w:marTop w:val="0"/>
              <w:marBottom w:val="0"/>
              <w:divBdr>
                <w:top w:val="none" w:sz="0" w:space="0" w:color="auto"/>
                <w:left w:val="none" w:sz="0" w:space="0" w:color="auto"/>
                <w:bottom w:val="none" w:sz="0" w:space="0" w:color="auto"/>
                <w:right w:val="none" w:sz="0" w:space="0" w:color="auto"/>
              </w:divBdr>
              <w:divsChild>
                <w:div w:id="1990132365">
                  <w:marLeft w:val="0"/>
                  <w:marRight w:val="0"/>
                  <w:marTop w:val="0"/>
                  <w:marBottom w:val="0"/>
                  <w:divBdr>
                    <w:top w:val="none" w:sz="0" w:space="0" w:color="auto"/>
                    <w:left w:val="none" w:sz="0" w:space="0" w:color="auto"/>
                    <w:bottom w:val="none" w:sz="0" w:space="0" w:color="auto"/>
                    <w:right w:val="none" w:sz="0" w:space="0" w:color="auto"/>
                  </w:divBdr>
                  <w:divsChild>
                    <w:div w:id="16090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5019">
      <w:bodyDiv w:val="1"/>
      <w:marLeft w:val="0"/>
      <w:marRight w:val="0"/>
      <w:marTop w:val="0"/>
      <w:marBottom w:val="0"/>
      <w:divBdr>
        <w:top w:val="none" w:sz="0" w:space="0" w:color="auto"/>
        <w:left w:val="none" w:sz="0" w:space="0" w:color="auto"/>
        <w:bottom w:val="none" w:sz="0" w:space="0" w:color="auto"/>
        <w:right w:val="none" w:sz="0" w:space="0" w:color="auto"/>
      </w:divBdr>
      <w:divsChild>
        <w:div w:id="1442989790">
          <w:marLeft w:val="0"/>
          <w:marRight w:val="0"/>
          <w:marTop w:val="0"/>
          <w:marBottom w:val="0"/>
          <w:divBdr>
            <w:top w:val="none" w:sz="0" w:space="0" w:color="auto"/>
            <w:left w:val="none" w:sz="0" w:space="0" w:color="auto"/>
            <w:bottom w:val="none" w:sz="0" w:space="0" w:color="auto"/>
            <w:right w:val="none" w:sz="0" w:space="0" w:color="auto"/>
          </w:divBdr>
          <w:divsChild>
            <w:div w:id="60447856">
              <w:marLeft w:val="0"/>
              <w:marRight w:val="0"/>
              <w:marTop w:val="0"/>
              <w:marBottom w:val="0"/>
              <w:divBdr>
                <w:top w:val="none" w:sz="0" w:space="0" w:color="auto"/>
                <w:left w:val="none" w:sz="0" w:space="0" w:color="auto"/>
                <w:bottom w:val="none" w:sz="0" w:space="0" w:color="auto"/>
                <w:right w:val="none" w:sz="0" w:space="0" w:color="auto"/>
              </w:divBdr>
              <w:divsChild>
                <w:div w:id="1479414705">
                  <w:marLeft w:val="0"/>
                  <w:marRight w:val="0"/>
                  <w:marTop w:val="0"/>
                  <w:marBottom w:val="0"/>
                  <w:divBdr>
                    <w:top w:val="none" w:sz="0" w:space="0" w:color="auto"/>
                    <w:left w:val="none" w:sz="0" w:space="0" w:color="auto"/>
                    <w:bottom w:val="none" w:sz="0" w:space="0" w:color="auto"/>
                    <w:right w:val="none" w:sz="0" w:space="0" w:color="auto"/>
                  </w:divBdr>
                  <w:divsChild>
                    <w:div w:id="877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5906">
      <w:bodyDiv w:val="1"/>
      <w:marLeft w:val="0"/>
      <w:marRight w:val="0"/>
      <w:marTop w:val="0"/>
      <w:marBottom w:val="0"/>
      <w:divBdr>
        <w:top w:val="none" w:sz="0" w:space="0" w:color="auto"/>
        <w:left w:val="none" w:sz="0" w:space="0" w:color="auto"/>
        <w:bottom w:val="none" w:sz="0" w:space="0" w:color="auto"/>
        <w:right w:val="none" w:sz="0" w:space="0" w:color="auto"/>
      </w:divBdr>
      <w:divsChild>
        <w:div w:id="272245681">
          <w:marLeft w:val="0"/>
          <w:marRight w:val="0"/>
          <w:marTop w:val="0"/>
          <w:marBottom w:val="0"/>
          <w:divBdr>
            <w:top w:val="none" w:sz="0" w:space="0" w:color="auto"/>
            <w:left w:val="none" w:sz="0" w:space="0" w:color="auto"/>
            <w:bottom w:val="none" w:sz="0" w:space="0" w:color="auto"/>
            <w:right w:val="none" w:sz="0" w:space="0" w:color="auto"/>
          </w:divBdr>
          <w:divsChild>
            <w:div w:id="2067756464">
              <w:marLeft w:val="0"/>
              <w:marRight w:val="0"/>
              <w:marTop w:val="0"/>
              <w:marBottom w:val="0"/>
              <w:divBdr>
                <w:top w:val="none" w:sz="0" w:space="0" w:color="auto"/>
                <w:left w:val="none" w:sz="0" w:space="0" w:color="auto"/>
                <w:bottom w:val="none" w:sz="0" w:space="0" w:color="auto"/>
                <w:right w:val="none" w:sz="0" w:space="0" w:color="auto"/>
              </w:divBdr>
              <w:divsChild>
                <w:div w:id="1637221006">
                  <w:marLeft w:val="0"/>
                  <w:marRight w:val="0"/>
                  <w:marTop w:val="0"/>
                  <w:marBottom w:val="0"/>
                  <w:divBdr>
                    <w:top w:val="none" w:sz="0" w:space="0" w:color="auto"/>
                    <w:left w:val="none" w:sz="0" w:space="0" w:color="auto"/>
                    <w:bottom w:val="none" w:sz="0" w:space="0" w:color="auto"/>
                    <w:right w:val="none" w:sz="0" w:space="0" w:color="auto"/>
                  </w:divBdr>
                  <w:divsChild>
                    <w:div w:id="9555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81444">
      <w:bodyDiv w:val="1"/>
      <w:marLeft w:val="0"/>
      <w:marRight w:val="0"/>
      <w:marTop w:val="0"/>
      <w:marBottom w:val="0"/>
      <w:divBdr>
        <w:top w:val="none" w:sz="0" w:space="0" w:color="auto"/>
        <w:left w:val="none" w:sz="0" w:space="0" w:color="auto"/>
        <w:bottom w:val="none" w:sz="0" w:space="0" w:color="auto"/>
        <w:right w:val="none" w:sz="0" w:space="0" w:color="auto"/>
      </w:divBdr>
      <w:divsChild>
        <w:div w:id="1875147674">
          <w:marLeft w:val="0"/>
          <w:marRight w:val="0"/>
          <w:marTop w:val="0"/>
          <w:marBottom w:val="0"/>
          <w:divBdr>
            <w:top w:val="none" w:sz="0" w:space="0" w:color="auto"/>
            <w:left w:val="none" w:sz="0" w:space="0" w:color="auto"/>
            <w:bottom w:val="none" w:sz="0" w:space="0" w:color="auto"/>
            <w:right w:val="none" w:sz="0" w:space="0" w:color="auto"/>
          </w:divBdr>
          <w:divsChild>
            <w:div w:id="869532999">
              <w:marLeft w:val="0"/>
              <w:marRight w:val="0"/>
              <w:marTop w:val="0"/>
              <w:marBottom w:val="0"/>
              <w:divBdr>
                <w:top w:val="none" w:sz="0" w:space="0" w:color="auto"/>
                <w:left w:val="none" w:sz="0" w:space="0" w:color="auto"/>
                <w:bottom w:val="none" w:sz="0" w:space="0" w:color="auto"/>
                <w:right w:val="none" w:sz="0" w:space="0" w:color="auto"/>
              </w:divBdr>
              <w:divsChild>
                <w:div w:id="1494294144">
                  <w:marLeft w:val="0"/>
                  <w:marRight w:val="0"/>
                  <w:marTop w:val="0"/>
                  <w:marBottom w:val="0"/>
                  <w:divBdr>
                    <w:top w:val="none" w:sz="0" w:space="0" w:color="auto"/>
                    <w:left w:val="none" w:sz="0" w:space="0" w:color="auto"/>
                    <w:bottom w:val="none" w:sz="0" w:space="0" w:color="auto"/>
                    <w:right w:val="none" w:sz="0" w:space="0" w:color="auto"/>
                  </w:divBdr>
                  <w:divsChild>
                    <w:div w:id="11030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0382">
      <w:bodyDiv w:val="1"/>
      <w:marLeft w:val="0"/>
      <w:marRight w:val="0"/>
      <w:marTop w:val="0"/>
      <w:marBottom w:val="0"/>
      <w:divBdr>
        <w:top w:val="none" w:sz="0" w:space="0" w:color="auto"/>
        <w:left w:val="none" w:sz="0" w:space="0" w:color="auto"/>
        <w:bottom w:val="none" w:sz="0" w:space="0" w:color="auto"/>
        <w:right w:val="none" w:sz="0" w:space="0" w:color="auto"/>
      </w:divBdr>
    </w:div>
    <w:div w:id="1823691447">
      <w:bodyDiv w:val="1"/>
      <w:marLeft w:val="0"/>
      <w:marRight w:val="0"/>
      <w:marTop w:val="0"/>
      <w:marBottom w:val="0"/>
      <w:divBdr>
        <w:top w:val="none" w:sz="0" w:space="0" w:color="auto"/>
        <w:left w:val="none" w:sz="0" w:space="0" w:color="auto"/>
        <w:bottom w:val="none" w:sz="0" w:space="0" w:color="auto"/>
        <w:right w:val="none" w:sz="0" w:space="0" w:color="auto"/>
      </w:divBdr>
      <w:divsChild>
        <w:div w:id="1212884984">
          <w:marLeft w:val="0"/>
          <w:marRight w:val="0"/>
          <w:marTop w:val="0"/>
          <w:marBottom w:val="0"/>
          <w:divBdr>
            <w:top w:val="none" w:sz="0" w:space="0" w:color="auto"/>
            <w:left w:val="none" w:sz="0" w:space="0" w:color="auto"/>
            <w:bottom w:val="none" w:sz="0" w:space="0" w:color="auto"/>
            <w:right w:val="none" w:sz="0" w:space="0" w:color="auto"/>
          </w:divBdr>
        </w:div>
      </w:divsChild>
    </w:div>
    <w:div w:id="1851524012">
      <w:bodyDiv w:val="1"/>
      <w:marLeft w:val="0"/>
      <w:marRight w:val="0"/>
      <w:marTop w:val="0"/>
      <w:marBottom w:val="0"/>
      <w:divBdr>
        <w:top w:val="none" w:sz="0" w:space="0" w:color="auto"/>
        <w:left w:val="none" w:sz="0" w:space="0" w:color="auto"/>
        <w:bottom w:val="none" w:sz="0" w:space="0" w:color="auto"/>
        <w:right w:val="none" w:sz="0" w:space="0" w:color="auto"/>
      </w:divBdr>
      <w:divsChild>
        <w:div w:id="432629893">
          <w:marLeft w:val="0"/>
          <w:marRight w:val="0"/>
          <w:marTop w:val="0"/>
          <w:marBottom w:val="0"/>
          <w:divBdr>
            <w:top w:val="none" w:sz="0" w:space="0" w:color="auto"/>
            <w:left w:val="none" w:sz="0" w:space="0" w:color="auto"/>
            <w:bottom w:val="none" w:sz="0" w:space="0" w:color="auto"/>
            <w:right w:val="none" w:sz="0" w:space="0" w:color="auto"/>
          </w:divBdr>
          <w:divsChild>
            <w:div w:id="735205851">
              <w:marLeft w:val="0"/>
              <w:marRight w:val="0"/>
              <w:marTop w:val="0"/>
              <w:marBottom w:val="0"/>
              <w:divBdr>
                <w:top w:val="none" w:sz="0" w:space="0" w:color="auto"/>
                <w:left w:val="none" w:sz="0" w:space="0" w:color="auto"/>
                <w:bottom w:val="none" w:sz="0" w:space="0" w:color="auto"/>
                <w:right w:val="none" w:sz="0" w:space="0" w:color="auto"/>
              </w:divBdr>
              <w:divsChild>
                <w:div w:id="789056170">
                  <w:marLeft w:val="0"/>
                  <w:marRight w:val="0"/>
                  <w:marTop w:val="0"/>
                  <w:marBottom w:val="0"/>
                  <w:divBdr>
                    <w:top w:val="none" w:sz="0" w:space="0" w:color="auto"/>
                    <w:left w:val="none" w:sz="0" w:space="0" w:color="auto"/>
                    <w:bottom w:val="none" w:sz="0" w:space="0" w:color="auto"/>
                    <w:right w:val="none" w:sz="0" w:space="0" w:color="auto"/>
                  </w:divBdr>
                </w:div>
              </w:divsChild>
            </w:div>
            <w:div w:id="2104909768">
              <w:marLeft w:val="0"/>
              <w:marRight w:val="0"/>
              <w:marTop w:val="0"/>
              <w:marBottom w:val="0"/>
              <w:divBdr>
                <w:top w:val="none" w:sz="0" w:space="0" w:color="auto"/>
                <w:left w:val="none" w:sz="0" w:space="0" w:color="auto"/>
                <w:bottom w:val="none" w:sz="0" w:space="0" w:color="auto"/>
                <w:right w:val="none" w:sz="0" w:space="0" w:color="auto"/>
              </w:divBdr>
              <w:divsChild>
                <w:div w:id="3048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4510">
      <w:bodyDiv w:val="1"/>
      <w:marLeft w:val="0"/>
      <w:marRight w:val="0"/>
      <w:marTop w:val="0"/>
      <w:marBottom w:val="0"/>
      <w:divBdr>
        <w:top w:val="none" w:sz="0" w:space="0" w:color="auto"/>
        <w:left w:val="none" w:sz="0" w:space="0" w:color="auto"/>
        <w:bottom w:val="none" w:sz="0" w:space="0" w:color="auto"/>
        <w:right w:val="none" w:sz="0" w:space="0" w:color="auto"/>
      </w:divBdr>
      <w:divsChild>
        <w:div w:id="1627855680">
          <w:marLeft w:val="0"/>
          <w:marRight w:val="0"/>
          <w:marTop w:val="0"/>
          <w:marBottom w:val="0"/>
          <w:divBdr>
            <w:top w:val="none" w:sz="0" w:space="0" w:color="auto"/>
            <w:left w:val="none" w:sz="0" w:space="0" w:color="auto"/>
            <w:bottom w:val="none" w:sz="0" w:space="0" w:color="auto"/>
            <w:right w:val="none" w:sz="0" w:space="0" w:color="auto"/>
          </w:divBdr>
          <w:divsChild>
            <w:div w:id="106777099">
              <w:marLeft w:val="0"/>
              <w:marRight w:val="0"/>
              <w:marTop w:val="0"/>
              <w:marBottom w:val="0"/>
              <w:divBdr>
                <w:top w:val="none" w:sz="0" w:space="0" w:color="auto"/>
                <w:left w:val="none" w:sz="0" w:space="0" w:color="auto"/>
                <w:bottom w:val="none" w:sz="0" w:space="0" w:color="auto"/>
                <w:right w:val="none" w:sz="0" w:space="0" w:color="auto"/>
              </w:divBdr>
              <w:divsChild>
                <w:div w:id="988366132">
                  <w:marLeft w:val="0"/>
                  <w:marRight w:val="0"/>
                  <w:marTop w:val="0"/>
                  <w:marBottom w:val="0"/>
                  <w:divBdr>
                    <w:top w:val="none" w:sz="0" w:space="0" w:color="auto"/>
                    <w:left w:val="none" w:sz="0" w:space="0" w:color="auto"/>
                    <w:bottom w:val="none" w:sz="0" w:space="0" w:color="auto"/>
                    <w:right w:val="none" w:sz="0" w:space="0" w:color="auto"/>
                  </w:divBdr>
                </w:div>
              </w:divsChild>
            </w:div>
            <w:div w:id="1087581949">
              <w:marLeft w:val="0"/>
              <w:marRight w:val="0"/>
              <w:marTop w:val="0"/>
              <w:marBottom w:val="0"/>
              <w:divBdr>
                <w:top w:val="none" w:sz="0" w:space="0" w:color="auto"/>
                <w:left w:val="none" w:sz="0" w:space="0" w:color="auto"/>
                <w:bottom w:val="none" w:sz="0" w:space="0" w:color="auto"/>
                <w:right w:val="none" w:sz="0" w:space="0" w:color="auto"/>
              </w:divBdr>
              <w:divsChild>
                <w:div w:id="6582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5955">
      <w:bodyDiv w:val="1"/>
      <w:marLeft w:val="0"/>
      <w:marRight w:val="0"/>
      <w:marTop w:val="0"/>
      <w:marBottom w:val="0"/>
      <w:divBdr>
        <w:top w:val="none" w:sz="0" w:space="0" w:color="auto"/>
        <w:left w:val="none" w:sz="0" w:space="0" w:color="auto"/>
        <w:bottom w:val="none" w:sz="0" w:space="0" w:color="auto"/>
        <w:right w:val="none" w:sz="0" w:space="0" w:color="auto"/>
      </w:divBdr>
      <w:divsChild>
        <w:div w:id="291135361">
          <w:marLeft w:val="0"/>
          <w:marRight w:val="0"/>
          <w:marTop w:val="0"/>
          <w:marBottom w:val="0"/>
          <w:divBdr>
            <w:top w:val="none" w:sz="0" w:space="0" w:color="auto"/>
            <w:left w:val="none" w:sz="0" w:space="0" w:color="auto"/>
            <w:bottom w:val="none" w:sz="0" w:space="0" w:color="auto"/>
            <w:right w:val="none" w:sz="0" w:space="0" w:color="auto"/>
          </w:divBdr>
        </w:div>
      </w:divsChild>
    </w:div>
    <w:div w:id="1947500115">
      <w:bodyDiv w:val="1"/>
      <w:marLeft w:val="0"/>
      <w:marRight w:val="0"/>
      <w:marTop w:val="0"/>
      <w:marBottom w:val="0"/>
      <w:divBdr>
        <w:top w:val="none" w:sz="0" w:space="0" w:color="auto"/>
        <w:left w:val="none" w:sz="0" w:space="0" w:color="auto"/>
        <w:bottom w:val="none" w:sz="0" w:space="0" w:color="auto"/>
        <w:right w:val="none" w:sz="0" w:space="0" w:color="auto"/>
      </w:divBdr>
      <w:divsChild>
        <w:div w:id="350760279">
          <w:marLeft w:val="0"/>
          <w:marRight w:val="0"/>
          <w:marTop w:val="0"/>
          <w:marBottom w:val="0"/>
          <w:divBdr>
            <w:top w:val="none" w:sz="0" w:space="0" w:color="auto"/>
            <w:left w:val="none" w:sz="0" w:space="0" w:color="auto"/>
            <w:bottom w:val="none" w:sz="0" w:space="0" w:color="auto"/>
            <w:right w:val="none" w:sz="0" w:space="0" w:color="auto"/>
          </w:divBdr>
        </w:div>
      </w:divsChild>
    </w:div>
    <w:div w:id="1954748709">
      <w:bodyDiv w:val="1"/>
      <w:marLeft w:val="0"/>
      <w:marRight w:val="0"/>
      <w:marTop w:val="0"/>
      <w:marBottom w:val="0"/>
      <w:divBdr>
        <w:top w:val="none" w:sz="0" w:space="0" w:color="auto"/>
        <w:left w:val="none" w:sz="0" w:space="0" w:color="auto"/>
        <w:bottom w:val="none" w:sz="0" w:space="0" w:color="auto"/>
        <w:right w:val="none" w:sz="0" w:space="0" w:color="auto"/>
      </w:divBdr>
      <w:divsChild>
        <w:div w:id="73403292">
          <w:marLeft w:val="0"/>
          <w:marRight w:val="0"/>
          <w:marTop w:val="0"/>
          <w:marBottom w:val="0"/>
          <w:divBdr>
            <w:top w:val="none" w:sz="0" w:space="0" w:color="auto"/>
            <w:left w:val="none" w:sz="0" w:space="0" w:color="auto"/>
            <w:bottom w:val="none" w:sz="0" w:space="0" w:color="auto"/>
            <w:right w:val="none" w:sz="0" w:space="0" w:color="auto"/>
          </w:divBdr>
          <w:divsChild>
            <w:div w:id="1197505294">
              <w:marLeft w:val="0"/>
              <w:marRight w:val="0"/>
              <w:marTop w:val="0"/>
              <w:marBottom w:val="0"/>
              <w:divBdr>
                <w:top w:val="none" w:sz="0" w:space="0" w:color="auto"/>
                <w:left w:val="none" w:sz="0" w:space="0" w:color="auto"/>
                <w:bottom w:val="none" w:sz="0" w:space="0" w:color="auto"/>
                <w:right w:val="none" w:sz="0" w:space="0" w:color="auto"/>
              </w:divBdr>
              <w:divsChild>
                <w:div w:id="1389568621">
                  <w:marLeft w:val="0"/>
                  <w:marRight w:val="0"/>
                  <w:marTop w:val="0"/>
                  <w:marBottom w:val="0"/>
                  <w:divBdr>
                    <w:top w:val="none" w:sz="0" w:space="0" w:color="auto"/>
                    <w:left w:val="none" w:sz="0" w:space="0" w:color="auto"/>
                    <w:bottom w:val="none" w:sz="0" w:space="0" w:color="auto"/>
                    <w:right w:val="none" w:sz="0" w:space="0" w:color="auto"/>
                  </w:divBdr>
                  <w:divsChild>
                    <w:div w:id="16848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063341">
      <w:bodyDiv w:val="1"/>
      <w:marLeft w:val="0"/>
      <w:marRight w:val="0"/>
      <w:marTop w:val="0"/>
      <w:marBottom w:val="0"/>
      <w:divBdr>
        <w:top w:val="none" w:sz="0" w:space="0" w:color="auto"/>
        <w:left w:val="none" w:sz="0" w:space="0" w:color="auto"/>
        <w:bottom w:val="none" w:sz="0" w:space="0" w:color="auto"/>
        <w:right w:val="none" w:sz="0" w:space="0" w:color="auto"/>
      </w:divBdr>
      <w:divsChild>
        <w:div w:id="1539002013">
          <w:marLeft w:val="0"/>
          <w:marRight w:val="0"/>
          <w:marTop w:val="0"/>
          <w:marBottom w:val="0"/>
          <w:divBdr>
            <w:top w:val="none" w:sz="0" w:space="0" w:color="auto"/>
            <w:left w:val="none" w:sz="0" w:space="0" w:color="auto"/>
            <w:bottom w:val="none" w:sz="0" w:space="0" w:color="auto"/>
            <w:right w:val="none" w:sz="0" w:space="0" w:color="auto"/>
          </w:divBdr>
          <w:divsChild>
            <w:div w:id="1690373460">
              <w:marLeft w:val="0"/>
              <w:marRight w:val="0"/>
              <w:marTop w:val="0"/>
              <w:marBottom w:val="0"/>
              <w:divBdr>
                <w:top w:val="none" w:sz="0" w:space="0" w:color="auto"/>
                <w:left w:val="none" w:sz="0" w:space="0" w:color="auto"/>
                <w:bottom w:val="none" w:sz="0" w:space="0" w:color="auto"/>
                <w:right w:val="none" w:sz="0" w:space="0" w:color="auto"/>
              </w:divBdr>
              <w:divsChild>
                <w:div w:id="913971604">
                  <w:marLeft w:val="0"/>
                  <w:marRight w:val="0"/>
                  <w:marTop w:val="0"/>
                  <w:marBottom w:val="0"/>
                  <w:divBdr>
                    <w:top w:val="none" w:sz="0" w:space="0" w:color="auto"/>
                    <w:left w:val="none" w:sz="0" w:space="0" w:color="auto"/>
                    <w:bottom w:val="none" w:sz="0" w:space="0" w:color="auto"/>
                    <w:right w:val="none" w:sz="0" w:space="0" w:color="auto"/>
                  </w:divBdr>
                  <w:divsChild>
                    <w:div w:id="1673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3374">
      <w:bodyDiv w:val="1"/>
      <w:marLeft w:val="0"/>
      <w:marRight w:val="0"/>
      <w:marTop w:val="0"/>
      <w:marBottom w:val="0"/>
      <w:divBdr>
        <w:top w:val="none" w:sz="0" w:space="0" w:color="auto"/>
        <w:left w:val="none" w:sz="0" w:space="0" w:color="auto"/>
        <w:bottom w:val="none" w:sz="0" w:space="0" w:color="auto"/>
        <w:right w:val="none" w:sz="0" w:space="0" w:color="auto"/>
      </w:divBdr>
      <w:divsChild>
        <w:div w:id="796878858">
          <w:marLeft w:val="0"/>
          <w:marRight w:val="0"/>
          <w:marTop w:val="0"/>
          <w:marBottom w:val="0"/>
          <w:divBdr>
            <w:top w:val="none" w:sz="0" w:space="0" w:color="auto"/>
            <w:left w:val="none" w:sz="0" w:space="0" w:color="auto"/>
            <w:bottom w:val="none" w:sz="0" w:space="0" w:color="auto"/>
            <w:right w:val="none" w:sz="0" w:space="0" w:color="auto"/>
          </w:divBdr>
        </w:div>
      </w:divsChild>
    </w:div>
    <w:div w:id="2002153531">
      <w:bodyDiv w:val="1"/>
      <w:marLeft w:val="0"/>
      <w:marRight w:val="0"/>
      <w:marTop w:val="0"/>
      <w:marBottom w:val="0"/>
      <w:divBdr>
        <w:top w:val="none" w:sz="0" w:space="0" w:color="auto"/>
        <w:left w:val="none" w:sz="0" w:space="0" w:color="auto"/>
        <w:bottom w:val="none" w:sz="0" w:space="0" w:color="auto"/>
        <w:right w:val="none" w:sz="0" w:space="0" w:color="auto"/>
      </w:divBdr>
      <w:divsChild>
        <w:div w:id="983242783">
          <w:marLeft w:val="0"/>
          <w:marRight w:val="0"/>
          <w:marTop w:val="0"/>
          <w:marBottom w:val="0"/>
          <w:divBdr>
            <w:top w:val="none" w:sz="0" w:space="0" w:color="auto"/>
            <w:left w:val="none" w:sz="0" w:space="0" w:color="auto"/>
            <w:bottom w:val="none" w:sz="0" w:space="0" w:color="auto"/>
            <w:right w:val="none" w:sz="0" w:space="0" w:color="auto"/>
          </w:divBdr>
        </w:div>
      </w:divsChild>
    </w:div>
    <w:div w:id="2004775363">
      <w:bodyDiv w:val="1"/>
      <w:marLeft w:val="0"/>
      <w:marRight w:val="0"/>
      <w:marTop w:val="0"/>
      <w:marBottom w:val="0"/>
      <w:divBdr>
        <w:top w:val="none" w:sz="0" w:space="0" w:color="auto"/>
        <w:left w:val="none" w:sz="0" w:space="0" w:color="auto"/>
        <w:bottom w:val="none" w:sz="0" w:space="0" w:color="auto"/>
        <w:right w:val="none" w:sz="0" w:space="0" w:color="auto"/>
      </w:divBdr>
      <w:divsChild>
        <w:div w:id="1218013298">
          <w:marLeft w:val="0"/>
          <w:marRight w:val="0"/>
          <w:marTop w:val="0"/>
          <w:marBottom w:val="0"/>
          <w:divBdr>
            <w:top w:val="none" w:sz="0" w:space="0" w:color="auto"/>
            <w:left w:val="none" w:sz="0" w:space="0" w:color="auto"/>
            <w:bottom w:val="none" w:sz="0" w:space="0" w:color="auto"/>
            <w:right w:val="none" w:sz="0" w:space="0" w:color="auto"/>
          </w:divBdr>
          <w:divsChild>
            <w:div w:id="196894102">
              <w:marLeft w:val="0"/>
              <w:marRight w:val="0"/>
              <w:marTop w:val="0"/>
              <w:marBottom w:val="0"/>
              <w:divBdr>
                <w:top w:val="none" w:sz="0" w:space="0" w:color="auto"/>
                <w:left w:val="none" w:sz="0" w:space="0" w:color="auto"/>
                <w:bottom w:val="none" w:sz="0" w:space="0" w:color="auto"/>
                <w:right w:val="none" w:sz="0" w:space="0" w:color="auto"/>
              </w:divBdr>
              <w:divsChild>
                <w:div w:id="2136096649">
                  <w:marLeft w:val="0"/>
                  <w:marRight w:val="0"/>
                  <w:marTop w:val="0"/>
                  <w:marBottom w:val="0"/>
                  <w:divBdr>
                    <w:top w:val="none" w:sz="0" w:space="0" w:color="auto"/>
                    <w:left w:val="none" w:sz="0" w:space="0" w:color="auto"/>
                    <w:bottom w:val="none" w:sz="0" w:space="0" w:color="auto"/>
                    <w:right w:val="none" w:sz="0" w:space="0" w:color="auto"/>
                  </w:divBdr>
                </w:div>
              </w:divsChild>
            </w:div>
            <w:div w:id="2078047150">
              <w:marLeft w:val="0"/>
              <w:marRight w:val="0"/>
              <w:marTop w:val="0"/>
              <w:marBottom w:val="0"/>
              <w:divBdr>
                <w:top w:val="none" w:sz="0" w:space="0" w:color="auto"/>
                <w:left w:val="none" w:sz="0" w:space="0" w:color="auto"/>
                <w:bottom w:val="none" w:sz="0" w:space="0" w:color="auto"/>
                <w:right w:val="none" w:sz="0" w:space="0" w:color="auto"/>
              </w:divBdr>
              <w:divsChild>
                <w:div w:id="8757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2025">
      <w:bodyDiv w:val="1"/>
      <w:marLeft w:val="0"/>
      <w:marRight w:val="0"/>
      <w:marTop w:val="0"/>
      <w:marBottom w:val="0"/>
      <w:divBdr>
        <w:top w:val="none" w:sz="0" w:space="0" w:color="auto"/>
        <w:left w:val="none" w:sz="0" w:space="0" w:color="auto"/>
        <w:bottom w:val="none" w:sz="0" w:space="0" w:color="auto"/>
        <w:right w:val="none" w:sz="0" w:space="0" w:color="auto"/>
      </w:divBdr>
    </w:div>
    <w:div w:id="2076511077">
      <w:bodyDiv w:val="1"/>
      <w:marLeft w:val="0"/>
      <w:marRight w:val="0"/>
      <w:marTop w:val="0"/>
      <w:marBottom w:val="0"/>
      <w:divBdr>
        <w:top w:val="none" w:sz="0" w:space="0" w:color="auto"/>
        <w:left w:val="none" w:sz="0" w:space="0" w:color="auto"/>
        <w:bottom w:val="none" w:sz="0" w:space="0" w:color="auto"/>
        <w:right w:val="none" w:sz="0" w:space="0" w:color="auto"/>
      </w:divBdr>
    </w:div>
    <w:div w:id="2102603431">
      <w:bodyDiv w:val="1"/>
      <w:marLeft w:val="0"/>
      <w:marRight w:val="0"/>
      <w:marTop w:val="0"/>
      <w:marBottom w:val="0"/>
      <w:divBdr>
        <w:top w:val="none" w:sz="0" w:space="0" w:color="auto"/>
        <w:left w:val="none" w:sz="0" w:space="0" w:color="auto"/>
        <w:bottom w:val="none" w:sz="0" w:space="0" w:color="auto"/>
        <w:right w:val="none" w:sz="0" w:space="0" w:color="auto"/>
      </w:divBdr>
      <w:divsChild>
        <w:div w:id="1943219129">
          <w:marLeft w:val="0"/>
          <w:marRight w:val="0"/>
          <w:marTop w:val="0"/>
          <w:marBottom w:val="0"/>
          <w:divBdr>
            <w:top w:val="none" w:sz="0" w:space="0" w:color="auto"/>
            <w:left w:val="none" w:sz="0" w:space="0" w:color="auto"/>
            <w:bottom w:val="none" w:sz="0" w:space="0" w:color="auto"/>
            <w:right w:val="none" w:sz="0" w:space="0" w:color="auto"/>
          </w:divBdr>
        </w:div>
      </w:divsChild>
    </w:div>
    <w:div w:id="2109425189">
      <w:bodyDiv w:val="1"/>
      <w:marLeft w:val="0"/>
      <w:marRight w:val="0"/>
      <w:marTop w:val="0"/>
      <w:marBottom w:val="0"/>
      <w:divBdr>
        <w:top w:val="none" w:sz="0" w:space="0" w:color="auto"/>
        <w:left w:val="none" w:sz="0" w:space="0" w:color="auto"/>
        <w:bottom w:val="none" w:sz="0" w:space="0" w:color="auto"/>
        <w:right w:val="none" w:sz="0" w:space="0" w:color="auto"/>
      </w:divBdr>
      <w:divsChild>
        <w:div w:id="99449517">
          <w:marLeft w:val="0"/>
          <w:marRight w:val="0"/>
          <w:marTop w:val="0"/>
          <w:marBottom w:val="0"/>
          <w:divBdr>
            <w:top w:val="none" w:sz="0" w:space="0" w:color="auto"/>
            <w:left w:val="none" w:sz="0" w:space="0" w:color="auto"/>
            <w:bottom w:val="none" w:sz="0" w:space="0" w:color="auto"/>
            <w:right w:val="none" w:sz="0" w:space="0" w:color="auto"/>
          </w:divBdr>
        </w:div>
      </w:divsChild>
    </w:div>
    <w:div w:id="2114860657">
      <w:bodyDiv w:val="1"/>
      <w:marLeft w:val="0"/>
      <w:marRight w:val="0"/>
      <w:marTop w:val="0"/>
      <w:marBottom w:val="0"/>
      <w:divBdr>
        <w:top w:val="none" w:sz="0" w:space="0" w:color="auto"/>
        <w:left w:val="none" w:sz="0" w:space="0" w:color="auto"/>
        <w:bottom w:val="none" w:sz="0" w:space="0" w:color="auto"/>
        <w:right w:val="none" w:sz="0" w:space="0" w:color="auto"/>
      </w:divBdr>
      <w:divsChild>
        <w:div w:id="46701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jcccedu.sharepoint.com/sites/AEIO/Shared%20Documents/Assessment/Data/AY%202023-2024/2023-2024%20Assessment%20Data%20Compilation%207.9.2024.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 SLOs: Number fo Assessments per GE SLO Outcome - AY23-24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n Assessments</c:v>
          </c:tx>
          <c:spPr>
            <a:solidFill>
              <a:srgbClr val="BED6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DB8D-D44D-8D50-1904116A77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 Updated 9.2.2024'!$A$7:$A$12</c:f>
              <c:strCache>
                <c:ptCount val="6"/>
                <c:pt idx="0">
                  <c:v>SLO 1: Info. Literacy</c:v>
                </c:pt>
                <c:pt idx="1">
                  <c:v>SLO 2: Problem Solving</c:v>
                </c:pt>
                <c:pt idx="2">
                  <c:v>SLO 3: Communication</c:v>
                </c:pt>
                <c:pt idx="3">
                  <c:v>SLO 4: Human Experience</c:v>
                </c:pt>
                <c:pt idx="4">
                  <c:v>SLO 5: Info. Processing</c:v>
                </c:pt>
                <c:pt idx="5">
                  <c:v>SLO 6: Analysis / Synthesis</c:v>
                </c:pt>
              </c:strCache>
            </c:strRef>
          </c:cat>
          <c:val>
            <c:numRef>
              <c:f>'Charts - Updated 9.2.2024'!$E$7:$E$12</c:f>
              <c:numCache>
                <c:formatCode>General</c:formatCode>
                <c:ptCount val="6"/>
                <c:pt idx="0">
                  <c:v>0</c:v>
                </c:pt>
                <c:pt idx="1">
                  <c:v>111</c:v>
                </c:pt>
                <c:pt idx="2">
                  <c:v>149</c:v>
                </c:pt>
                <c:pt idx="3">
                  <c:v>423</c:v>
                </c:pt>
                <c:pt idx="4">
                  <c:v>724</c:v>
                </c:pt>
                <c:pt idx="5">
                  <c:v>1395</c:v>
                </c:pt>
              </c:numCache>
            </c:numRef>
          </c:val>
          <c:extLst>
            <c:ext xmlns:c16="http://schemas.microsoft.com/office/drawing/2014/chart" uri="{C3380CC4-5D6E-409C-BE32-E72D297353CC}">
              <c16:uniqueId val="{00000001-DB8D-D44D-8D50-1904116A77FE}"/>
            </c:ext>
          </c:extLst>
        </c:ser>
        <c:dLbls>
          <c:showLegendKey val="0"/>
          <c:showVal val="0"/>
          <c:showCatName val="0"/>
          <c:showSerName val="0"/>
          <c:showPercent val="0"/>
          <c:showBubbleSize val="0"/>
        </c:dLbls>
        <c:gapWidth val="219"/>
        <c:overlap val="-27"/>
        <c:axId val="80014719"/>
        <c:axId val="80017119"/>
      </c:barChart>
      <c:catAx>
        <c:axId val="80014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17119"/>
        <c:crosses val="autoZero"/>
        <c:auto val="1"/>
        <c:lblAlgn val="ctr"/>
        <c:lblOffset val="100"/>
        <c:noMultiLvlLbl val="0"/>
      </c:catAx>
      <c:valAx>
        <c:axId val="80017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 Assessments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147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prstClr val="black"/>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0.12183</cdr:x>
      <cdr:y>0.13521</cdr:y>
    </cdr:from>
    <cdr:to>
      <cdr:x>0.27123</cdr:x>
      <cdr:y>0.82456</cdr:y>
    </cdr:to>
    <cdr:sp macro="" textlink="">
      <cdr:nvSpPr>
        <cdr:cNvPr id="2" name="Rectangle 1">
          <a:extLst xmlns:a="http://schemas.openxmlformats.org/drawingml/2006/main">
            <a:ext uri="{FF2B5EF4-FFF2-40B4-BE49-F238E27FC236}">
              <a16:creationId xmlns:a16="http://schemas.microsoft.com/office/drawing/2014/main" id="{CD92DB13-A5A6-DFE1-814E-778E5494BAE1}"/>
            </a:ext>
            <a:ext uri="{147F2762-F138-4A5C-976F-8EAC2B608ADB}">
              <a16:predDERef xmlns:a16="http://schemas.microsoft.com/office/drawing/2014/main" pred="{E0578776-DFF1-0A7E-BDEA-78AF80EADF8A}"/>
            </a:ext>
          </a:extLst>
        </cdr:cNvPr>
        <cdr:cNvSpPr/>
      </cdr:nvSpPr>
      <cdr:spPr>
        <a:xfrm xmlns:a="http://schemas.openxmlformats.org/drawingml/2006/main">
          <a:off x="724118" y="375274"/>
          <a:ext cx="887973" cy="1913369"/>
        </a:xfrm>
        <a:prstGeom xmlns:a="http://schemas.openxmlformats.org/drawingml/2006/main" prst="rect">
          <a:avLst/>
        </a:prstGeom>
        <a:solidFill xmlns:a="http://schemas.openxmlformats.org/drawingml/2006/main">
          <a:sysClr val="window" lastClr="FFFFFF"/>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1100">
              <a:solidFill>
                <a:sysClr val="windowText" lastClr="000000"/>
              </a:solidFill>
            </a:rPr>
            <a:t>No students were assessed over </a:t>
          </a:r>
          <a:r>
            <a:rPr lang="en-US" sz="1100" i="1">
              <a:solidFill>
                <a:sysClr val="windowText" lastClr="000000"/>
              </a:solidFill>
            </a:rPr>
            <a:t>GE SLO 1: Information Literacy </a:t>
          </a:r>
          <a:r>
            <a:rPr lang="en-US" sz="1100" i="0">
              <a:solidFill>
                <a:sysClr val="windowText" lastClr="000000"/>
              </a:solidFill>
            </a:rPr>
            <a:t>in AY23-24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D345E064B55E4DB9D797806CF606E7" ma:contentTypeVersion="18" ma:contentTypeDescription="Create a new document." ma:contentTypeScope="" ma:versionID="374b1294ceba6024cfdaab2e3ed94f76">
  <xsd:schema xmlns:xsd="http://www.w3.org/2001/XMLSchema" xmlns:xs="http://www.w3.org/2001/XMLSchema" xmlns:p="http://schemas.microsoft.com/office/2006/metadata/properties" xmlns:ns2="a38631ca-2cd8-42e0-a318-7280a2e7bfd0" xmlns:ns3="a6cba7e7-9897-49c4-a863-c24d00bb1e9e" targetNamespace="http://schemas.microsoft.com/office/2006/metadata/properties" ma:root="true" ma:fieldsID="898cf06807d348fc34e4c00f38b0c407" ns2:_="" ns3:_="">
    <xsd:import namespace="a38631ca-2cd8-42e0-a318-7280a2e7bfd0"/>
    <xsd:import namespace="a6cba7e7-9897-49c4-a863-c24d00bb1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631ca-2cd8-42e0-a318-7280a2e7b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a7e7-9897-49c4-a863-c24d00bb1e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405f47-77f6-4916-a468-0a350a09f4d1}" ma:internalName="TaxCatchAll" ma:showField="CatchAllData" ma:web="a6cba7e7-9897-49c4-a863-c24d00bb1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6cba7e7-9897-49c4-a863-c24d00bb1e9e">
      <UserInfo>
        <DisplayName>Sheri Barrett</DisplayName>
        <AccountId>13</AccountId>
        <AccountType/>
      </UserInfo>
      <UserInfo>
        <DisplayName>Sonia Akins</DisplayName>
        <AccountId>12</AccountId>
        <AccountType/>
      </UserInfo>
    </SharedWithUsers>
    <lcf76f155ced4ddcb4097134ff3c332f xmlns="a38631ca-2cd8-42e0-a318-7280a2e7bfd0">
      <Terms xmlns="http://schemas.microsoft.com/office/infopath/2007/PartnerControls"/>
    </lcf76f155ced4ddcb4097134ff3c332f>
    <TaxCatchAll xmlns="a6cba7e7-9897-49c4-a863-c24d00bb1e9e" xsi:nil="true"/>
  </documentManagement>
</p:properties>
</file>

<file path=customXml/itemProps1.xml><?xml version="1.0" encoding="utf-8"?>
<ds:datastoreItem xmlns:ds="http://schemas.openxmlformats.org/officeDocument/2006/customXml" ds:itemID="{1869E3B6-323F-4A7B-A33D-C5CF5682894C}">
  <ds:schemaRefs>
    <ds:schemaRef ds:uri="http://schemas.microsoft.com/sharepoint/v3/contenttype/forms"/>
  </ds:schemaRefs>
</ds:datastoreItem>
</file>

<file path=customXml/itemProps2.xml><?xml version="1.0" encoding="utf-8"?>
<ds:datastoreItem xmlns:ds="http://schemas.openxmlformats.org/officeDocument/2006/customXml" ds:itemID="{D52C4B44-F54D-0D45-9844-3C28CD9B9928}">
  <ds:schemaRefs>
    <ds:schemaRef ds:uri="http://schemas.openxmlformats.org/officeDocument/2006/bibliography"/>
  </ds:schemaRefs>
</ds:datastoreItem>
</file>

<file path=customXml/itemProps3.xml><?xml version="1.0" encoding="utf-8"?>
<ds:datastoreItem xmlns:ds="http://schemas.openxmlformats.org/officeDocument/2006/customXml" ds:itemID="{4DC5955D-A1F3-422A-A992-3370C6B06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631ca-2cd8-42e0-a318-7280a2e7bfd0"/>
    <ds:schemaRef ds:uri="a6cba7e7-9897-49c4-a863-c24d00bb1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4CE8B-8595-4FAF-8BF9-3D381C2B84A8}">
  <ds:schemaRefs>
    <ds:schemaRef ds:uri="http://schemas.microsoft.com/office/2006/metadata/properties"/>
    <ds:schemaRef ds:uri="http://schemas.microsoft.com/office/infopath/2007/PartnerControls"/>
    <ds:schemaRef ds:uri="a6cba7e7-9897-49c4-a863-c24d00bb1e9e"/>
    <ds:schemaRef ds:uri="a38631ca-2cd8-42e0-a318-7280a2e7bf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3630</Words>
  <Characters>22220</Characters>
  <Application>Microsoft Office Word</Application>
  <DocSecurity>0</DocSecurity>
  <Lines>431</Lines>
  <Paragraphs>132</Paragraphs>
  <ScaleCrop>false</ScaleCrop>
  <Company>Johnson County Community College</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Annual Report</dc:title>
  <dc:subject>ASSESSMENT OF STUDENT LEARNING &amp;                     PROGRAM IMPROVEMENT REPORT</dc:subject>
  <dc:creator>Sheri Barrett</dc:creator>
  <cp:keywords/>
  <dc:description/>
  <cp:lastModifiedBy>Michael Brooks</cp:lastModifiedBy>
  <cp:revision>208</cp:revision>
  <cp:lastPrinted>2022-01-25T21:00:00Z</cp:lastPrinted>
  <dcterms:created xsi:type="dcterms:W3CDTF">2025-09-02T22:33:00Z</dcterms:created>
  <dcterms:modified xsi:type="dcterms:W3CDTF">2026-01-22T14:29:00Z</dcterms:modified>
  <cp:category>Office of Assessment, Evaluation, and Institutional Outcomes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0x010100D6D345E064B55E4DB9D797806CF606E7</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0e7d1dfc6438a1edc1d57be862b57d2034e60f2e8c74e904cc2a05c5b227c929</vt:lpwstr>
  </property>
</Properties>
</file>